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122"/>
        <w:ind w:firstLine="300"/>
        <w:spacing w:line="360" w:lineRule="auto"/>
        <w:rPr>
          <w:color w:val="000000"/>
          <w:sz w:val="60"/>
          <w:szCs w:val="60"/>
          <w:highlight w:val="none"/>
        </w:rPr>
      </w:pPr>
      <w:r>
        <w:rPr>
          <w:color w:val="000000"/>
          <w:sz w:val="60"/>
          <w:szCs w:val="60"/>
          <w:highlight w:val="none"/>
        </w:rPr>
      </w:r>
      <w:r/>
    </w:p>
    <w:p>
      <w:pPr>
        <w:pStyle w:val="1122"/>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122"/>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122"/>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22"/>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22"/>
        <w:ind w:left="0" w:firstLine="993"/>
        <w:jc w:val="left"/>
        <w:spacing w:line="360" w:lineRule="auto"/>
        <w:tabs>
          <w:tab w:val="left" w:pos="5609" w:leader="none"/>
        </w:tabs>
        <w:rPr>
          <w:rFonts w:hint="eastAsia"/>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2026年江苏省常州体育运动学校大巴车</w:t>
      </w:r>
      <w:r>
        <w:rPr>
          <w:rFonts w:hint="eastAsia"/>
          <w:bCs/>
          <w:color w:val="000000"/>
          <w:sz w:val="36"/>
          <w:szCs w:val="36"/>
          <w:highlight w:val="none"/>
          <w:lang w:eastAsia="zh-CN"/>
        </w:rPr>
      </w:r>
      <w:r/>
    </w:p>
    <w:p>
      <w:pPr>
        <w:pStyle w:val="1122"/>
        <w:ind w:left="0" w:firstLine="2790"/>
        <w:jc w:val="left"/>
        <w:spacing w:line="360" w:lineRule="auto"/>
        <w:tabs>
          <w:tab w:val="left" w:pos="5609" w:leader="none"/>
        </w:tabs>
        <w:rPr>
          <w:rFonts w:hint="eastAsia" w:eastAsia="宋体"/>
          <w:bCs/>
          <w:color w:val="000000"/>
          <w:sz w:val="36"/>
          <w:szCs w:val="36"/>
          <w:highlight w:val="none"/>
          <w:lang w:eastAsia="zh-CN"/>
        </w:rPr>
      </w:pPr>
      <w:r>
        <w:rPr>
          <w:rFonts w:hint="eastAsia"/>
          <w:bCs/>
          <w:color w:val="000000"/>
          <w:sz w:val="36"/>
          <w:szCs w:val="36"/>
          <w:highlight w:val="none"/>
          <w:lang w:eastAsia="zh-CN"/>
        </w:rPr>
        <w:t xml:space="preserve">租赁服务项目</w:t>
      </w:r>
      <w:r>
        <w:rPr>
          <w:rFonts w:hint="eastAsia" w:eastAsia="宋体"/>
          <w:bCs/>
          <w:color w:val="000000"/>
          <w:sz w:val="36"/>
          <w:szCs w:val="36"/>
          <w:highlight w:val="none"/>
          <w:lang w:eastAsia="zh-CN"/>
        </w:rPr>
      </w:r>
      <w:r/>
    </w:p>
    <w:p>
      <w:pPr>
        <w:pStyle w:val="1122"/>
        <w:ind w:left="0" w:firstLine="993"/>
        <w:jc w:val="left"/>
        <w:spacing w:line="360" w:lineRule="auto"/>
        <w:tabs>
          <w:tab w:val="left" w:pos="5609"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JSZC-320400-YTZB-C2026-0002</w:t>
      </w:r>
      <w:r>
        <w:rPr>
          <w:rFonts w:hint="eastAsia" w:eastAsia="宋体"/>
          <w:bCs/>
          <w:color w:val="000000"/>
          <w:sz w:val="36"/>
          <w:szCs w:val="36"/>
          <w:highlight w:val="none"/>
          <w:lang w:eastAsia="zh-CN"/>
        </w:rPr>
      </w:r>
      <w:r/>
    </w:p>
    <w:p>
      <w:pPr>
        <w:pStyle w:val="1122"/>
        <w:ind w:left="0" w:firstLine="993"/>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bookmarkStart w:id="0" w:name="_Hlk156489818"/>
      <w:r>
        <w:rPr>
          <w:rFonts w:hint="eastAsia"/>
          <w:bCs/>
          <w:color w:val="000000"/>
          <w:sz w:val="36"/>
          <w:szCs w:val="36"/>
          <w:highlight w:val="none"/>
          <w:lang w:eastAsia="zh-CN"/>
        </w:rPr>
        <w:t xml:space="preserve">江苏省常州体育运动学校</w:t>
      </w:r>
      <w:r>
        <w:rPr>
          <w:rFonts w:hint="eastAsia" w:eastAsia="宋体"/>
          <w:bCs/>
          <w:color w:val="000000"/>
          <w:sz w:val="36"/>
          <w:szCs w:val="36"/>
          <w:highlight w:val="none"/>
          <w:lang w:eastAsia="zh-CN"/>
        </w:rPr>
      </w:r>
      <w:r/>
    </w:p>
    <w:p>
      <w:pPr>
        <w:pStyle w:val="1122"/>
        <w:ind w:left="0" w:firstLine="993"/>
        <w:jc w:val="left"/>
        <w:spacing w:line="360" w:lineRule="auto"/>
        <w:tabs>
          <w:tab w:val="left" w:pos="3240" w:leader="none"/>
          <w:tab w:val="left" w:pos="3420" w:leader="none"/>
        </w:tabs>
        <w:rPr>
          <w:bCs/>
          <w:color w:val="000000"/>
          <w:sz w:val="36"/>
          <w:szCs w:val="36"/>
          <w:highlight w:val="none"/>
        </w:rPr>
      </w:pPr>
      <w:r/>
      <w:bookmarkEnd w:id="0"/>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常州盈泰招标有限公司</w:t>
      </w:r>
      <w:r>
        <w:rPr>
          <w:bCs/>
          <w:color w:val="000000"/>
          <w:sz w:val="36"/>
          <w:szCs w:val="36"/>
          <w:highlight w:val="none"/>
        </w:rPr>
        <w:t xml:space="preserve"> </w:t>
      </w:r>
      <w:r>
        <w:rPr>
          <w:bCs/>
          <w:color w:val="000000"/>
          <w:sz w:val="36"/>
          <w:szCs w:val="36"/>
          <w:highlight w:val="none"/>
        </w:rPr>
      </w:r>
      <w:r/>
    </w:p>
    <w:p>
      <w:pPr>
        <w:pStyle w:val="1122"/>
        <w:jc w:val="left"/>
        <w:widowControl/>
        <w:rPr>
          <w:color w:val="000000"/>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br w:type="page" w:clear="all"/>
      </w:r>
      <w:r/>
    </w:p>
    <w:p>
      <w:pPr>
        <w:pStyle w:val="1122"/>
        <w:jc w:val="left"/>
        <w:widowControl/>
        <w:rPr>
          <w:color w:val="000000"/>
          <w:sz w:val="24"/>
          <w:highlight w:val="none"/>
        </w:rPr>
      </w:pPr>
      <w:r>
        <w:rPr>
          <w:color w:val="000000"/>
          <w:sz w:val="24"/>
          <w:highlight w:val="none"/>
        </w:rPr>
      </w:r>
      <w:r/>
    </w:p>
    <w:p>
      <w:pPr>
        <w:pStyle w:val="1307"/>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122"/>
        <w:jc w:val="center"/>
        <w:spacing w:line="360" w:lineRule="auto"/>
        <w:rPr>
          <w:b/>
          <w:color w:val="000000"/>
          <w:sz w:val="36"/>
          <w:szCs w:val="36"/>
          <w:highlight w:val="none"/>
        </w:rPr>
        <w:outlineLvl w:val="0"/>
      </w:pPr>
      <w:r/>
      <w:bookmarkStart w:id="1" w:name="_Toc104818924"/>
      <w:r/>
      <w:bookmarkStart w:id="2" w:name="_Toc32669"/>
      <w:r/>
      <w:bookmarkStart w:id="3" w:name="_Toc139291591"/>
      <w:r/>
      <w:bookmarkStart w:id="4" w:name="_Toc15657409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1"/>
      <w:r/>
      <w:bookmarkEnd w:id="2"/>
      <w:r/>
      <w:bookmarkEnd w:id="3"/>
      <w:r/>
      <w:bookmarkEnd w:id="4"/>
      <w:r>
        <w:rPr>
          <w:b/>
          <w:color w:val="000000"/>
          <w:sz w:val="36"/>
          <w:szCs w:val="36"/>
          <w:highlight w:val="none"/>
        </w:rPr>
      </w:r>
      <w:r/>
    </w:p>
    <w:p>
      <w:pPr>
        <w:pStyle w:val="1122"/>
        <w:rPr>
          <w:color w:val="000000"/>
          <w:highlight w:val="none"/>
        </w:rPr>
      </w:pPr>
      <w:r>
        <w:rPr>
          <w:color w:val="000000"/>
          <w:highlight w:val="none"/>
        </w:rPr>
      </w:r>
      <w:r/>
    </w:p>
    <w:p>
      <w:pPr>
        <w:pStyle w:val="1122"/>
        <w:rPr>
          <w:color w:val="000000"/>
          <w:highlight w:val="none"/>
        </w:rPr>
      </w:pPr>
      <w:r>
        <w:rPr>
          <w:color w:val="000000"/>
          <w:highlight w:val="none"/>
        </w:rPr>
      </w:r>
      <w:r/>
    </w:p>
    <w:p>
      <w:pPr>
        <w:pStyle w:val="1122"/>
        <w:rPr>
          <w:color w:val="000000"/>
          <w:highlight w:val="none"/>
        </w:rPr>
      </w:pPr>
      <w:r>
        <w:rPr>
          <w:color w:val="000000"/>
          <w:highlight w:val="none"/>
        </w:rPr>
      </w:r>
      <w:r/>
    </w:p>
    <w:p>
      <w:pPr>
        <w:pStyle w:val="1122"/>
        <w:rPr>
          <w:color w:val="000000"/>
          <w:highlight w:val="none"/>
        </w:rPr>
      </w:pPr>
      <w:r>
        <w:rPr>
          <w:color w:val="000000"/>
          <w:highlight w:val="none"/>
        </w:rPr>
      </w:r>
      <w:r/>
    </w:p>
    <w:p>
      <w:pPr>
        <w:pStyle w:val="1176"/>
        <w:tabs>
          <w:tab w:val="right" w:pos="9072" w:leader="dot"/>
        </w:tabs>
        <w:rPr>
          <w:color w:val="000000"/>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_Toc23233 </w:instrText>
      </w:r>
      <w:r>
        <w:rPr>
          <w:rFonts w:ascii="Times New Roman" w:hAnsi="Times New Roman"/>
          <w:color w:val="000000"/>
          <w:highlight w:val="none"/>
        </w:rPr>
        <w:fldChar w:fldCharType="separate"/>
      </w:r>
      <w:r>
        <w:rPr>
          <w:color w:val="000000"/>
          <w:szCs w:val="36"/>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_Toc23233 \h </w:instrText>
      </w:r>
      <w:r>
        <w:rPr>
          <w:color w:val="000000"/>
          <w:highlight w:val="none"/>
        </w:rPr>
        <w:fldChar w:fldCharType="separate"/>
      </w:r>
      <w:r>
        <w:rPr>
          <w:color w:val="000000"/>
          <w:highlight w:val="none"/>
        </w:rPr>
        <w:t xml:space="preserve">2</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6"/>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_Toc14273 </w:instrText>
      </w:r>
      <w:r>
        <w:rPr>
          <w:rFonts w:ascii="Times New Roman" w:hAnsi="Times New Roman"/>
          <w:color w:val="000000"/>
          <w:highlight w:val="none"/>
        </w:rPr>
        <w:fldChar w:fldCharType="separate"/>
      </w:r>
      <w:r>
        <w:rPr>
          <w:rFonts w:ascii="Times New Roman" w:hAnsi="Times New Roman" w:eastAsia="宋体" w:cs="Times New Roman"/>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_Toc14273 \h </w:instrText>
      </w:r>
      <w:r>
        <w:rPr>
          <w:color w:val="000000"/>
          <w:highlight w:val="none"/>
        </w:rPr>
        <w:fldChar w:fldCharType="separate"/>
      </w:r>
      <w:r>
        <w:rPr>
          <w:color w:val="000000"/>
          <w:highlight w:val="none"/>
        </w:rPr>
        <w:t xml:space="preserve">6</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6"/>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_Toc26799 </w:instrText>
      </w:r>
      <w:r>
        <w:rPr>
          <w:rFonts w:ascii="Times New Roman" w:hAnsi="Times New Roman"/>
          <w:color w:val="000000"/>
          <w:highlight w:val="none"/>
        </w:rPr>
        <w:fldChar w:fldCharType="separate"/>
      </w:r>
      <w:r>
        <w:rPr>
          <w:rFonts w:hint="eastAsia"/>
          <w:color w:val="000000"/>
          <w:szCs w:val="36"/>
          <w:highlight w:val="none"/>
        </w:rPr>
        <w:t xml:space="preserve">第三章 </w:t>
      </w:r>
      <w:r>
        <w:rPr>
          <w:rFonts w:hint="eastAsia"/>
          <w:color w:val="000000"/>
          <w:szCs w:val="36"/>
          <w:highlight w:val="none"/>
          <w:lang w:val="en-US" w:eastAsia="zh-CN"/>
        </w:rPr>
        <w:t xml:space="preserve">  </w:t>
      </w:r>
      <w:r>
        <w:rPr>
          <w:color w:val="000000"/>
          <w:szCs w:val="36"/>
          <w:highlight w:val="none"/>
        </w:rPr>
        <w:t xml:space="preserve">评审</w:t>
      </w:r>
      <w:r>
        <w:rPr>
          <w:rFonts w:hint="eastAsia"/>
          <w:color w:val="000000"/>
          <w:szCs w:val="36"/>
          <w:highlight w:val="none"/>
        </w:rPr>
        <w:t xml:space="preserve">程序、评审</w:t>
      </w:r>
      <w:r>
        <w:rPr>
          <w:color w:val="000000"/>
          <w:szCs w:val="36"/>
          <w:highlight w:val="none"/>
        </w:rPr>
        <w:t xml:space="preserve">方法和评审标准</w:t>
      </w:r>
      <w:r>
        <w:rPr>
          <w:color w:val="000000"/>
          <w:highlight w:val="none"/>
        </w:rPr>
        <w:tab/>
      </w:r>
      <w:r>
        <w:rPr>
          <w:color w:val="000000"/>
          <w:highlight w:val="none"/>
        </w:rPr>
        <w:fldChar w:fldCharType="begin"/>
      </w:r>
      <w:r>
        <w:rPr>
          <w:color w:val="000000"/>
          <w:highlight w:val="none"/>
        </w:rPr>
        <w:instrText xml:space="preserve"> PAGEREF _Toc26799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6"/>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_Toc1159 </w:instrText>
      </w:r>
      <w:r>
        <w:rPr>
          <w:rFonts w:ascii="Times New Roman" w:hAnsi="Times New Roman"/>
          <w:color w:val="000000"/>
          <w:highlight w:val="none"/>
        </w:rPr>
        <w:fldChar w:fldCharType="separate"/>
      </w:r>
      <w:r>
        <w:rPr>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_Toc1159 \h </w:instrText>
      </w:r>
      <w:r>
        <w:rPr>
          <w:color w:val="000000"/>
          <w:highlight w:val="none"/>
        </w:rPr>
        <w:fldChar w:fldCharType="separate"/>
      </w:r>
      <w:r>
        <w:rPr>
          <w:color w:val="000000"/>
          <w:highlight w:val="none"/>
        </w:rPr>
        <w:t xml:space="preserve">32</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6"/>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_Toc20934 </w:instrText>
      </w:r>
      <w:r>
        <w:rPr>
          <w:rFonts w:ascii="Times New Roman" w:hAnsi="Times New Roman"/>
          <w:color w:val="000000"/>
          <w:highlight w:val="none"/>
        </w:rPr>
        <w:fldChar w:fldCharType="separate"/>
      </w:r>
      <w:r>
        <w:rPr>
          <w:color w:val="000000"/>
          <w:szCs w:val="36"/>
          <w:highlight w:val="none"/>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_Toc20934 \h </w:instrText>
      </w:r>
      <w:r>
        <w:rPr>
          <w:color w:val="000000"/>
          <w:highlight w:val="none"/>
        </w:rPr>
        <w:fldChar w:fldCharType="separate"/>
      </w:r>
      <w:r>
        <w:rPr>
          <w:color w:val="000000"/>
          <w:highlight w:val="none"/>
        </w:rPr>
        <w:t xml:space="preserve">35</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6"/>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_Toc16808 </w:instrText>
      </w:r>
      <w:r>
        <w:rPr>
          <w:rFonts w:ascii="Times New Roman" w:hAnsi="Times New Roman"/>
          <w:color w:val="000000"/>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_Toc16808 \h </w:instrText>
      </w:r>
      <w:r>
        <w:rPr>
          <w:color w:val="000000"/>
          <w:highlight w:val="none"/>
        </w:rPr>
        <w:fldChar w:fldCharType="separate"/>
      </w:r>
      <w:r>
        <w:rPr>
          <w:color w:val="000000"/>
          <w:highlight w:val="none"/>
        </w:rPr>
        <w:t xml:space="preserve">40</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1176"/>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122"/>
        <w:jc w:val="center"/>
        <w:spacing w:line="360" w:lineRule="auto"/>
        <w:rPr>
          <w:b/>
          <w:color w:val="000000"/>
          <w:sz w:val="36"/>
          <w:szCs w:val="36"/>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pStyle w:val="1122"/>
        <w:jc w:val="center"/>
        <w:spacing w:line="360" w:lineRule="auto"/>
        <w:rPr>
          <w:b/>
          <w:color w:val="000000"/>
          <w:sz w:val="36"/>
          <w:szCs w:val="36"/>
          <w:highlight w:val="none"/>
        </w:rPr>
        <w:outlineLvl w:val="0"/>
      </w:pPr>
      <w:r/>
      <w:bookmarkStart w:id="5" w:name="_Toc23233"/>
      <w:r>
        <w:rPr>
          <w:b/>
          <w:color w:val="000000"/>
          <w:sz w:val="36"/>
          <w:szCs w:val="36"/>
          <w:highlight w:val="none"/>
        </w:rPr>
        <w:t xml:space="preserve">第一章  </w:t>
      </w:r>
      <w:bookmarkStart w:id="6" w:name="_Hlk155101063"/>
      <w:r>
        <w:rPr>
          <w:b/>
          <w:color w:val="000000"/>
          <w:sz w:val="36"/>
          <w:szCs w:val="36"/>
          <w:highlight w:val="none"/>
        </w:rPr>
        <w:t xml:space="preserve"> </w:t>
      </w:r>
      <w:bookmarkStart w:id="7" w:name="_Hlk155102665"/>
      <w:r>
        <w:rPr>
          <w:b/>
          <w:color w:val="000000"/>
          <w:sz w:val="36"/>
          <w:szCs w:val="36"/>
          <w:highlight w:val="none"/>
        </w:rPr>
        <w:t xml:space="preserve">采购邀请</w:t>
      </w:r>
      <w:bookmarkEnd w:id="5"/>
      <w:r/>
      <w:bookmarkStart w:id="8" w:name="_Toc35393790"/>
      <w:r/>
      <w:bookmarkStart w:id="9" w:name="_Toc35393621"/>
      <w:r/>
      <w:bookmarkStart w:id="10" w:name="_Toc28359002"/>
      <w:r/>
      <w:bookmarkStart w:id="11" w:name="_Toc28359079"/>
      <w:r/>
      <w:bookmarkStart w:id="12" w:name="_Hlk24379207"/>
      <w:r>
        <w:rPr>
          <w:b/>
          <w:color w:val="000000"/>
          <w:sz w:val="36"/>
          <w:szCs w:val="36"/>
          <w:highlight w:val="none"/>
        </w:rPr>
      </w:r>
      <w:r/>
    </w:p>
    <w:p>
      <w:pPr>
        <w:pStyle w:val="1122"/>
        <w:ind w:firstLine="480"/>
        <w:spacing w:line="360" w:lineRule="auto"/>
        <w:rPr>
          <w:color w:val="000000"/>
          <w:sz w:val="24"/>
          <w:highlight w:val="none"/>
        </w:rPr>
      </w:pPr>
      <w:r>
        <w:rPr>
          <w:color w:val="000000"/>
          <w:sz w:val="24"/>
          <w:highlight w:val="none"/>
        </w:rPr>
      </w:r>
      <w:r/>
    </w:p>
    <w:p>
      <w:pPr>
        <w:pStyle w:val="112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8"/>
      <w:r/>
      <w:bookmarkEnd w:id="9"/>
      <w:r/>
      <w:bookmarkEnd w:id="10"/>
      <w:r/>
      <w:bookmarkEnd w:id="11"/>
      <w:r>
        <w:rPr>
          <w:rFonts w:hint="eastAsia" w:ascii="宋体" w:hAnsi="宋体" w:eastAsia="宋体" w:cs="宋体"/>
          <w:color w:val="000000"/>
          <w:sz w:val="24"/>
          <w:szCs w:val="24"/>
          <w:highlight w:val="none"/>
        </w:rPr>
      </w:r>
      <w:r/>
    </w:p>
    <w:p>
      <w:pPr>
        <w:pStyle w:val="112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JSZC-320400-YTZB-C2026-0002</w:t>
      </w:r>
      <w:r>
        <w:rPr>
          <w:rFonts w:hint="eastAsia" w:ascii="宋体" w:hAnsi="宋体" w:eastAsia="宋体" w:cs="宋体"/>
          <w:color w:val="000000"/>
          <w:sz w:val="24"/>
          <w:highlight w:val="none"/>
          <w:lang w:eastAsia="zh-CN"/>
        </w:rPr>
      </w:r>
      <w:r/>
    </w:p>
    <w:p>
      <w:pPr>
        <w:pStyle w:val="112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eastAsia="zh-CN"/>
        </w:rPr>
        <w:t xml:space="preserve">2026年江苏省常州体育运动学校大巴车租赁服务项目</w:t>
      </w:r>
      <w:r>
        <w:rPr>
          <w:rFonts w:hint="eastAsia" w:ascii="宋体" w:hAnsi="宋体" w:eastAsia="宋体" w:cs="宋体"/>
          <w:color w:val="000000"/>
          <w:sz w:val="24"/>
          <w:highlight w:val="none"/>
          <w:lang w:eastAsia="zh-CN"/>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rPr>
          <w:rFonts w:hint="eastAsia" w:ascii="宋体" w:hAnsi="宋体" w:eastAsia="宋体" w:cs="宋体"/>
          <w:color w:val="000000"/>
          <w:sz w:val="24"/>
          <w:highlight w:val="none"/>
        </w:rPr>
      </w:r>
      <w:r/>
    </w:p>
    <w:p>
      <w:pPr>
        <w:pStyle w:val="1122"/>
        <w:ind w:firstLine="480"/>
        <w:spacing w:line="360" w:lineRule="auto"/>
        <w:rPr>
          <w:rFonts w:ascii="宋体" w:hAnsi="宋体" w:eastAsia="宋体" w:cs="宋体"/>
          <w:color w:val="000000"/>
          <w:sz w:val="24"/>
          <w:highlight w:val="none"/>
          <w:lang w:val="en-US" w:eastAsia="zh-CN"/>
        </w:rPr>
      </w:pPr>
      <w:r/>
      <w:bookmarkEnd w:id="12"/>
      <w:r>
        <w:rPr>
          <w:rFonts w:hint="eastAsia" w:ascii="宋体" w:hAnsi="宋体" w:eastAsia="宋体" w:cs="宋体"/>
          <w:color w:val="000000"/>
          <w:sz w:val="24"/>
          <w:highlight w:val="none"/>
        </w:rPr>
        <w:t xml:space="preserve">4.项目预算金额：人民币</w:t>
      </w:r>
      <w:r>
        <w:rPr>
          <w:rFonts w:hint="eastAsia" w:ascii="宋体" w:hAnsi="宋体" w:eastAsia="宋体" w:cs="宋体"/>
          <w:color w:val="000000"/>
          <w:sz w:val="24"/>
          <w:highlight w:val="none"/>
          <w:lang w:val="en-US" w:eastAsia="zh-CN"/>
        </w:rPr>
        <w:t xml:space="preserve">120</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t xml:space="preserve">/年</w:t>
      </w:r>
      <w:r>
        <w:rPr>
          <w:rFonts w:ascii="宋体" w:hAnsi="宋体" w:eastAsia="宋体" w:cs="宋体"/>
          <w:color w:val="000000"/>
          <w:sz w:val="24"/>
          <w:highlight w:val="none"/>
          <w:lang w:val="en-US" w:eastAsia="zh-CN"/>
        </w:rPr>
      </w:r>
      <w:r/>
    </w:p>
    <w:p>
      <w:pPr>
        <w:pStyle w:val="1122"/>
        <w:ind w:firstLine="7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项目最高限价（控制价）：</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120</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t xml:space="preserve">/年，</w:t>
      </w:r>
      <w:r>
        <w:rPr>
          <w:rFonts w:hint="eastAsia" w:ascii="宋体" w:hAnsi="宋体" w:cs="宋体"/>
          <w:color w:val="000000"/>
          <w:sz w:val="24"/>
          <w:highlight w:val="none"/>
        </w:rPr>
        <w:t xml:space="preserve">本项目以优惠率进行报价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t xml:space="preserve">本项目为</w:t>
      </w:r>
      <w:r>
        <w:rPr>
          <w:rFonts w:hint="eastAsia" w:ascii="宋体" w:hAnsi="宋体" w:eastAsia="宋体" w:cs="宋体"/>
          <w:color w:val="000000"/>
          <w:sz w:val="24"/>
          <w:highlight w:val="none"/>
          <w:lang w:eastAsia="zh-CN"/>
        </w:rPr>
        <w:t xml:space="preserve">2026年江苏省常州体育运动学校大巴车租赁服务项目，</w:t>
      </w:r>
      <w:r>
        <w:rPr>
          <w:rFonts w:hint="eastAsia" w:ascii="宋体" w:hAnsi="宋体" w:eastAsia="宋体" w:cs="宋体"/>
          <w:color w:val="000000"/>
          <w:sz w:val="24"/>
          <w:highlight w:val="none"/>
        </w:rPr>
        <w:t xml:space="preserve">具体内容详见竞争性磋商文件。</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highlight w:val="none"/>
        </w:rPr>
        <w:t xml:space="preserve">6.合同履行期限：</w:t>
      </w:r>
      <w:r>
        <w:rPr>
          <w:rFonts w:hint="eastAsia" w:ascii="Times New Roman" w:hAnsi="Times New Roman" w:eastAsia="宋体" w:cs="Times New Roman"/>
          <w:color w:val="000000"/>
          <w:sz w:val="24"/>
          <w:highlight w:val="none"/>
          <w:lang w:val="en-US" w:eastAsia="zh-CN"/>
        </w:rPr>
        <w:t xml:space="preserve">自合同签订生效之日起12个月，或至采购预算对应的租赁服务金额（人民币壹佰贰拾万元整）使用完毕，两者以先到为准。</w:t>
      </w:r>
      <w:r>
        <w:rPr>
          <w:rFonts w:hint="eastAsia" w:ascii="宋体" w:hAnsi="宋体" w:eastAsia="宋体" w:cs="宋体"/>
          <w:color w:val="000000"/>
          <w:sz w:val="24"/>
          <w:szCs w:val="24"/>
          <w:highlight w:val="none"/>
          <w:u w:val="singl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7.本项目是否接受联合体： □是  ■否。</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bookmarkStart w:id="13" w:name="_Toc35393791"/>
      <w:r/>
      <w:bookmarkStart w:id="14" w:name="_Toc28359003"/>
      <w:r/>
      <w:bookmarkStart w:id="15" w:name="_Toc28359080"/>
      <w:r/>
      <w:bookmarkStart w:id="16" w:name="_Toc35393622"/>
      <w:r>
        <w:rPr>
          <w:rFonts w:hint="eastAsia" w:ascii="宋体" w:hAnsi="宋体" w:eastAsia="宋体" w:cs="宋体"/>
          <w:color w:val="000000"/>
          <w:sz w:val="24"/>
          <w:highlight w:val="none"/>
        </w:rPr>
        <w:t xml:space="preserve">8.本项目是否接受进口产品响应：</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是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112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13"/>
      <w:r/>
      <w:bookmarkEnd w:id="14"/>
      <w:r/>
      <w:bookmarkEnd w:id="15"/>
      <w:r/>
      <w:bookmarkEnd w:id="16"/>
      <w:r>
        <w:rPr>
          <w:rFonts w:hint="eastAsia" w:ascii="宋体" w:hAnsi="宋体" w:eastAsia="宋体" w:cs="宋体"/>
          <w:color w:val="000000"/>
          <w:sz w:val="24"/>
          <w:szCs w:val="24"/>
          <w:highlight w:val="none"/>
        </w:rPr>
      </w:r>
      <w:r/>
    </w:p>
    <w:p>
      <w:pPr>
        <w:pStyle w:val="1122"/>
        <w:ind w:firstLine="480"/>
        <w:spacing w:line="360" w:lineRule="auto"/>
        <w:rPr>
          <w:rFonts w:hint="eastAsia" w:ascii="宋体" w:hAnsi="宋体" w:eastAsia="宋体" w:cs="宋体"/>
          <w:color w:val="000000"/>
          <w:sz w:val="24"/>
          <w:highlight w:val="none"/>
        </w:rPr>
      </w:pPr>
      <w:r/>
      <w:bookmarkStart w:id="17" w:name="_Toc28359081"/>
      <w:r/>
      <w:bookmarkStart w:id="18" w:name="_Toc28359004"/>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采购。即：提供的货物全部由符合政策要求的中小企业制造、服务全部由符合政策要求的中小企业承接。</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2"/>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1122"/>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3.1本项目是否接受分支机构参与响应：□是   ■否；</w:t>
      </w:r>
      <w:r>
        <w:rPr>
          <w:rFonts w:hint="eastAsia" w:ascii="宋体" w:hAnsi="宋体" w:eastAsia="宋体" w:cs="宋体"/>
          <w:color w:val="000000"/>
          <w:sz w:val="24"/>
          <w:highlight w:val="none"/>
        </w:rPr>
      </w:r>
      <w:r/>
    </w:p>
    <w:p>
      <w:pPr>
        <w:pStyle w:val="1122"/>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w:t>
      </w:r>
      <w:r>
        <w:rPr>
          <w:rFonts w:hint="eastAsia" w:ascii="宋体" w:hAnsi="宋体" w:eastAsia="宋体" w:cs="宋体"/>
          <w:color w:val="000000"/>
          <w:sz w:val="24"/>
          <w:highlight w:val="none"/>
        </w:rPr>
      </w:r>
      <w:r/>
    </w:p>
    <w:p>
      <w:pPr>
        <w:pStyle w:val="1122"/>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1122"/>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宋体" w:hAnsi="宋体" w:eastAsia="宋体" w:cs="宋体"/>
          <w:color w:val="000000"/>
          <w:sz w:val="24"/>
          <w:highlight w:val="none"/>
        </w:rPr>
        <w:t xml:space="preserve">□是，公益一类事业单位、使用事业编制且</w:t>
      </w:r>
      <w:r>
        <w:rPr>
          <w:color w:val="000000"/>
          <w:sz w:val="24"/>
          <w:highlight w:val="none"/>
        </w:rPr>
        <w:t xml:space="preserve">由财政拨款保障的群团组织，不得作为承接主体；</w:t>
      </w:r>
      <w:r>
        <w:rPr>
          <w:color w:val="000000"/>
          <w:sz w:val="24"/>
          <w:highlight w:val="none"/>
        </w:rPr>
      </w:r>
      <w:r/>
    </w:p>
    <w:p>
      <w:pPr>
        <w:pStyle w:val="1122"/>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3.3其他特定资格要求：</w:t>
      </w:r>
      <w:r>
        <w:rPr>
          <w:color w:val="000000"/>
          <w:sz w:val="24"/>
          <w:highlight w:val="none"/>
        </w:rPr>
      </w:r>
      <w:r/>
    </w:p>
    <w:p>
      <w:pPr>
        <w:pStyle w:val="1122"/>
        <w:ind w:firstLine="482"/>
        <w:spacing w:line="360" w:lineRule="auto"/>
        <w:tabs>
          <w:tab w:val="left" w:pos="900" w:leader="none"/>
          <w:tab w:val="left" w:pos="1134" w:leader="none"/>
          <w:tab w:val="left" w:pos="1589" w:leader="none"/>
          <w:tab w:val="left" w:pos="5521" w:leader="none"/>
        </w:tabs>
        <w:rPr>
          <w:color w:val="000000"/>
          <w:sz w:val="24"/>
          <w:highlight w:val="none"/>
          <w:lang w:val="en-US" w:eastAsia="zh-CN"/>
        </w:rPr>
      </w:pPr>
      <w:r>
        <w:rPr>
          <w:rFonts w:hint="eastAsia"/>
          <w:b/>
          <w:bCs/>
          <w:color w:val="000000"/>
          <w:sz w:val="24"/>
          <w:highlight w:val="none"/>
          <w:lang w:val="en-US" w:eastAsia="zh-CN"/>
        </w:rPr>
        <w:t xml:space="preserve">供应商须提供中华人民共和国道路运输经营许可证，经营范围须包含省际/市际包车客运或旅游客运。</w:t>
      </w:r>
      <w:r>
        <w:rPr>
          <w:color w:val="000000"/>
          <w:sz w:val="24"/>
          <w:highlight w:val="none"/>
          <w:lang w:val="en-US" w:eastAsia="zh-CN"/>
        </w:rPr>
      </w:r>
      <w:r/>
    </w:p>
    <w:p>
      <w:pPr>
        <w:pStyle w:val="1124"/>
        <w:jc w:val="left"/>
        <w:spacing w:before="0" w:line="360" w:lineRule="auto"/>
        <w:widowControl/>
        <w:rPr>
          <w:rFonts w:ascii="Times New Roman" w:hAnsi="Times New Roman" w:eastAsia="宋体"/>
          <w:color w:val="000000"/>
          <w:sz w:val="24"/>
          <w:szCs w:val="24"/>
          <w:highlight w:val="none"/>
        </w:rPr>
      </w:pPr>
      <w:r/>
      <w:bookmarkEnd w:id="17"/>
      <w:r/>
      <w:bookmarkEnd w:id="18"/>
      <w:r/>
      <w:bookmarkStart w:id="19" w:name="_Toc35393623"/>
      <w:r/>
      <w:bookmarkStart w:id="20" w:name="_Toc35393792"/>
      <w:r>
        <w:rPr>
          <w:rFonts w:ascii="Times New Roman" w:hAnsi="Times New Roman" w:eastAsia="宋体"/>
          <w:color w:val="000000"/>
          <w:sz w:val="24"/>
          <w:szCs w:val="24"/>
          <w:highlight w:val="none"/>
        </w:rPr>
        <w:t xml:space="preserve">三、获取采购文件</w:t>
      </w:r>
      <w:bookmarkEnd w:id="19"/>
      <w:r/>
      <w:bookmarkEnd w:id="20"/>
      <w:r>
        <w:rPr>
          <w:rFonts w:ascii="Times New Roman" w:hAnsi="Times New Roman" w:eastAsia="宋体"/>
          <w:color w:val="000000"/>
          <w:sz w:val="24"/>
          <w:szCs w:val="24"/>
          <w:highlight w:val="none"/>
        </w:rPr>
      </w:r>
      <w:r/>
    </w:p>
    <w:p>
      <w:pPr>
        <w:pStyle w:val="1122"/>
        <w:ind w:firstLine="480"/>
        <w:spacing w:line="360" w:lineRule="auto"/>
        <w:rPr>
          <w:rFonts w:hint="eastAsia"/>
          <w:color w:val="000000"/>
          <w:sz w:val="24"/>
          <w:highlight w:val="none"/>
          <w:lang w:eastAsia="zh-CN" w:bidi="ar"/>
        </w:rPr>
      </w:pPr>
      <w:r>
        <w:rPr>
          <w:color w:val="000000"/>
          <w:sz w:val="24"/>
          <w:highlight w:val="none"/>
          <w:lang w:bidi="ar"/>
        </w:rPr>
        <w:t xml:space="preserve">1.时间：</w:t>
      </w:r>
      <w:r>
        <w:rPr>
          <w:rFonts w:hint="eastAsia"/>
          <w:color w:val="000000"/>
          <w:sz w:val="24"/>
          <w:highlight w:val="none"/>
          <w:lang w:bidi="ar"/>
        </w:rPr>
        <w:t xml:space="preserve">自磋商文件公告发布之日起5个工作日</w:t>
      </w:r>
      <w:r>
        <w:rPr>
          <w:rFonts w:hint="eastAsia"/>
          <w:color w:val="000000"/>
          <w:sz w:val="24"/>
          <w:highlight w:val="none"/>
          <w:lang w:eastAsia="zh-CN" w:bidi="ar"/>
        </w:rPr>
        <w:t xml:space="preserve">。</w:t>
      </w:r>
      <w:r>
        <w:rPr>
          <w:rFonts w:hint="eastAsia"/>
          <w:color w:val="000000"/>
          <w:sz w:val="24"/>
          <w:highlight w:val="none"/>
          <w:lang w:eastAsia="zh-CN" w:bidi="ar"/>
        </w:rPr>
      </w:r>
      <w:r/>
    </w:p>
    <w:p>
      <w:pPr>
        <w:pStyle w:val="1122"/>
        <w:ind w:firstLine="480"/>
        <w:spacing w:line="360" w:lineRule="auto"/>
        <w:rPr>
          <w:color w:val="000000"/>
          <w:sz w:val="24"/>
          <w:highlight w:val="none"/>
        </w:rPr>
      </w:pPr>
      <w:r>
        <w:rPr>
          <w:color w:val="000000"/>
          <w:sz w:val="24"/>
          <w:highlight w:val="none"/>
          <w:lang w:bidi="ar"/>
        </w:rPr>
        <w:t xml:space="preserve">2.地点：</w:t>
      </w:r>
      <w:r>
        <w:rPr>
          <w:rFonts w:hint="eastAsia"/>
          <w:color w:val="000000"/>
          <w:sz w:val="24"/>
          <w:highlight w:val="none"/>
          <w:lang w:bidi="ar"/>
        </w:rPr>
        <w:t xml:space="preserve">“苏采云”政府采购一体化平台。</w:t>
      </w:r>
      <w:r>
        <w:rPr>
          <w:color w:val="000000"/>
          <w:sz w:val="24"/>
          <w:highlight w:val="none"/>
        </w:rPr>
      </w:r>
      <w:r/>
    </w:p>
    <w:p>
      <w:pPr>
        <w:pStyle w:val="1122"/>
        <w:ind w:firstLine="480"/>
        <w:jc w:val="left"/>
        <w:spacing w:line="360" w:lineRule="auto"/>
        <w:widowControl/>
        <w:rPr>
          <w:rFonts w:hint="eastAsia"/>
          <w:color w:val="000000"/>
          <w:sz w:val="24"/>
          <w:highlight w:val="none"/>
          <w:lang w:bidi="ar"/>
        </w:rPr>
      </w:pPr>
      <w:r>
        <w:rPr>
          <w:color w:val="000000"/>
          <w:sz w:val="24"/>
          <w:highlight w:val="none"/>
          <w:lang w:bidi="ar"/>
        </w:rPr>
        <w:t xml:space="preserve">3.方式：</w:t>
      </w:r>
      <w:r>
        <w:rPr>
          <w:rFonts w:hint="eastAsia"/>
          <w:color w:val="000000"/>
          <w:sz w:val="24"/>
          <w:highlight w:val="none"/>
          <w:lang w:bidi="ar"/>
        </w:rPr>
        <w:t xml:space="preserve">供应商持CA数字认证证书登录“苏采云”政府采购一体化平台获取电子版采购文件。 </w:t>
      </w:r>
      <w:r>
        <w:rPr>
          <w:rFonts w:hint="eastAsia"/>
          <w:color w:val="000000"/>
          <w:sz w:val="24"/>
          <w:highlight w:val="none"/>
          <w:lang w:bidi="ar"/>
        </w:rPr>
      </w:r>
      <w:r/>
    </w:p>
    <w:p>
      <w:pPr>
        <w:pStyle w:val="1122"/>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1124"/>
        <w:jc w:val="left"/>
        <w:spacing w:before="0" w:line="360" w:lineRule="auto"/>
        <w:widowControl/>
        <w:rPr>
          <w:rFonts w:ascii="Times New Roman" w:hAnsi="Times New Roman" w:eastAsia="宋体"/>
          <w:color w:val="000000"/>
          <w:sz w:val="24"/>
          <w:szCs w:val="24"/>
          <w:highlight w:val="none"/>
        </w:rPr>
      </w:pPr>
      <w:r/>
      <w:bookmarkStart w:id="21" w:name="_Toc35393793"/>
      <w:r/>
      <w:bookmarkStart w:id="22" w:name="_Toc28359082"/>
      <w:r/>
      <w:bookmarkStart w:id="23" w:name="_Toc35393624"/>
      <w:r/>
      <w:bookmarkStart w:id="24" w:name="_Toc28359005"/>
      <w:r/>
      <w:bookmarkStart w:id="25" w:name="_Hlk155970768"/>
      <w:r>
        <w:rPr>
          <w:rFonts w:ascii="Times New Roman" w:hAnsi="Times New Roman" w:eastAsia="宋体"/>
          <w:color w:val="000000"/>
          <w:sz w:val="24"/>
          <w:szCs w:val="24"/>
          <w:highlight w:val="none"/>
        </w:rPr>
        <w:t xml:space="preserve">四、</w:t>
      </w:r>
      <w:bookmarkEnd w:id="21"/>
      <w:r/>
      <w:bookmarkEnd w:id="22"/>
      <w:r/>
      <w:bookmarkEnd w:id="23"/>
      <w:r/>
      <w:bookmarkEnd w:id="24"/>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1122"/>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rPr>
        <w:t xml:space="preserve">202</w:t>
      </w:r>
      <w:r>
        <w:rPr>
          <w:rFonts w:hint="eastAsia"/>
          <w:color w:val="000000"/>
          <w:sz w:val="24"/>
          <w:highlight w:val="none"/>
          <w:lang w:val="en-US" w:eastAsia="zh-CN"/>
        </w:rPr>
        <w:t xml:space="preserve">6</w:t>
      </w:r>
      <w:r>
        <w:rPr>
          <w:rFonts w:hint="eastAsia"/>
          <w:color w:val="000000"/>
          <w:sz w:val="24"/>
          <w:highlight w:val="none"/>
        </w:rPr>
        <w:t xml:space="preserve">年</w:t>
      </w:r>
      <w:r>
        <w:rPr>
          <w:rFonts w:hint="eastAsia"/>
          <w:color w:val="000000"/>
          <w:sz w:val="24"/>
          <w:highlight w:val="none"/>
          <w:lang w:val="en-US" w:eastAsia="zh-CN"/>
        </w:rPr>
        <w:t xml:space="preserve">1</w:t>
      </w:r>
      <w:r>
        <w:rPr>
          <w:rFonts w:hint="eastAsia"/>
          <w:color w:val="000000"/>
          <w:sz w:val="24"/>
          <w:highlight w:val="none"/>
        </w:rPr>
        <w:t xml:space="preserve">月</w:t>
      </w:r>
      <w:r>
        <w:rPr>
          <w:rFonts w:hint="eastAsia"/>
          <w:color w:val="000000"/>
          <w:sz w:val="24"/>
          <w:highlight w:val="none"/>
          <w:lang w:val="en-US" w:eastAsia="zh-CN"/>
        </w:rPr>
        <w:t xml:space="preserve">27</w:t>
      </w:r>
      <w:r>
        <w:rPr>
          <w:rFonts w:hint="eastAsia"/>
          <w:color w:val="000000"/>
          <w:sz w:val="24"/>
          <w:highlight w:val="none"/>
        </w:rPr>
        <w:t xml:space="preserve">日</w:t>
      </w:r>
      <w:r>
        <w:rPr>
          <w:rFonts w:hint="eastAsia"/>
          <w:color w:val="000000"/>
          <w:sz w:val="24"/>
          <w:highlight w:val="none"/>
          <w:lang w:val="en-US" w:eastAsia="zh-CN"/>
        </w:rPr>
        <w:t xml:space="preserve">09</w:t>
      </w:r>
      <w:r>
        <w:rPr>
          <w:color w:val="000000"/>
          <w:sz w:val="24"/>
          <w:highlight w:val="none"/>
          <w:lang w:bidi="ar"/>
        </w:rPr>
        <w:t xml:space="preserve">点</w:t>
      </w:r>
      <w:r>
        <w:rPr>
          <w:rFonts w:hint="eastAsia"/>
          <w:color w:val="000000"/>
          <w:sz w:val="24"/>
          <w:highlight w:val="none"/>
          <w:lang w:val="en-US" w:eastAsia="zh-CN" w:bidi="ar"/>
        </w:rPr>
        <w:t xml:space="preserve">3</w:t>
      </w:r>
      <w:r>
        <w:rPr>
          <w:color w:val="000000"/>
          <w:sz w:val="24"/>
          <w:highlight w:val="none"/>
        </w:rPr>
        <w:t xml:space="preserve">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122"/>
        <w:ind w:firstLine="480"/>
        <w:spacing w:line="360" w:lineRule="auto"/>
        <w:rPr>
          <w:color w:val="000000"/>
          <w:sz w:val="24"/>
          <w:highlight w:val="none"/>
          <w:lang w:val="zh-TW" w:bidi="ar"/>
        </w:rPr>
      </w:pPr>
      <w:r>
        <w:rPr>
          <w:color w:val="000000"/>
          <w:sz w:val="24"/>
          <w:highlight w:val="none"/>
          <w:lang w:bidi="ar"/>
        </w:rPr>
        <w:t xml:space="preserve">地点：</w:t>
      </w:r>
      <w:r>
        <w:rPr>
          <w:rFonts w:hint="eastAsia"/>
          <w:color w:val="000000"/>
          <w:sz w:val="24"/>
          <w:highlight w:val="none"/>
          <w:lang w:bidi="ar"/>
        </w:rPr>
        <w:t xml:space="preserve">本项目采用不见面交易方式，无需到现场提交，供应商登录“苏采云”政府采购一体化平台供应商端，通过系统在线提交电子响应文件。 </w:t>
      </w:r>
      <w:r>
        <w:rPr>
          <w:color w:val="000000"/>
          <w:sz w:val="24"/>
          <w:highlight w:val="none"/>
          <w:lang w:val="zh-TW" w:bidi="ar"/>
        </w:rPr>
      </w:r>
      <w:r/>
    </w:p>
    <w:p>
      <w:pPr>
        <w:pStyle w:val="112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1122"/>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rPr>
        <w:t xml:space="preserve">2025年</w:t>
      </w:r>
      <w:r>
        <w:rPr>
          <w:rFonts w:hint="eastAsia"/>
          <w:color w:val="000000"/>
          <w:sz w:val="24"/>
          <w:highlight w:val="none"/>
          <w:lang w:val="en-US" w:eastAsia="zh-CN"/>
        </w:rPr>
        <w:t xml:space="preserve">1</w:t>
      </w:r>
      <w:r>
        <w:rPr>
          <w:rFonts w:hint="eastAsia"/>
          <w:color w:val="000000"/>
          <w:sz w:val="24"/>
          <w:highlight w:val="none"/>
        </w:rPr>
        <w:t xml:space="preserve">月</w:t>
      </w:r>
      <w:r>
        <w:rPr>
          <w:rFonts w:hint="eastAsia"/>
          <w:color w:val="000000"/>
          <w:sz w:val="24"/>
          <w:highlight w:val="none"/>
          <w:lang w:val="en-US" w:eastAsia="zh-CN"/>
        </w:rPr>
        <w:t xml:space="preserve">27</w:t>
      </w:r>
      <w:r>
        <w:rPr>
          <w:rFonts w:hint="eastAsia"/>
          <w:color w:val="000000"/>
          <w:sz w:val="24"/>
          <w:highlight w:val="none"/>
        </w:rPr>
        <w:t xml:space="preserve">日</w:t>
      </w:r>
      <w:r>
        <w:rPr>
          <w:rFonts w:hint="eastAsia"/>
          <w:color w:val="000000"/>
          <w:sz w:val="24"/>
          <w:highlight w:val="none"/>
          <w:lang w:val="en-US" w:eastAsia="zh-CN"/>
        </w:rPr>
        <w:t xml:space="preserve">09</w:t>
      </w:r>
      <w:r>
        <w:rPr>
          <w:color w:val="000000"/>
          <w:sz w:val="24"/>
          <w:highlight w:val="none"/>
          <w:lang w:bidi="ar"/>
        </w:rPr>
        <w:t xml:space="preserve">点</w:t>
      </w:r>
      <w:r>
        <w:rPr>
          <w:rFonts w:hint="eastAsia"/>
          <w:color w:val="000000"/>
          <w:sz w:val="24"/>
          <w:highlight w:val="none"/>
          <w:lang w:val="en-US" w:eastAsia="zh-CN" w:bidi="ar"/>
        </w:rPr>
        <w:t xml:space="preserve">3</w:t>
      </w:r>
      <w:r>
        <w:rPr>
          <w:color w:val="000000"/>
          <w:sz w:val="24"/>
          <w:highlight w:val="none"/>
        </w:rPr>
        <w:t xml:space="preserve">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122"/>
        <w:ind w:firstLine="480"/>
        <w:spacing w:line="360" w:lineRule="auto"/>
        <w:rPr>
          <w:color w:val="000000"/>
          <w:sz w:val="24"/>
          <w:highlight w:val="none"/>
          <w:lang w:val="zh-TW" w:bidi="ar"/>
        </w:rPr>
      </w:pPr>
      <w:r>
        <w:rPr>
          <w:color w:val="000000"/>
          <w:sz w:val="24"/>
          <w:highlight w:val="none"/>
          <w:lang w:bidi="ar"/>
        </w:rPr>
        <w:t xml:space="preserve">地点：</w:t>
      </w:r>
      <w:bookmarkEnd w:id="25"/>
      <w:r>
        <w:rPr>
          <w:rFonts w:hint="eastAsia"/>
          <w:color w:val="000000"/>
          <w:sz w:val="24"/>
          <w:highlight w:val="none"/>
          <w:lang w:bidi="ar"/>
        </w:rPr>
        <w:t xml:space="preserve">本项目采用不见面交易方式，无需到现场提交，供应商登录“苏采云”政府采购一体化平台供应商端，通过系统在线提交电子响应文件。 </w:t>
      </w:r>
      <w:r>
        <w:rPr>
          <w:color w:val="000000"/>
          <w:sz w:val="24"/>
          <w:highlight w:val="none"/>
          <w:lang w:val="zh-TW" w:bidi="ar"/>
        </w:rPr>
      </w:r>
      <w:r/>
    </w:p>
    <w:p>
      <w:pPr>
        <w:pStyle w:val="1124"/>
        <w:jc w:val="left"/>
        <w:spacing w:before="0" w:line="360" w:lineRule="auto"/>
        <w:rPr>
          <w:rFonts w:ascii="Times New Roman" w:hAnsi="Times New Roman" w:eastAsia="宋体"/>
          <w:color w:val="000000"/>
          <w:sz w:val="24"/>
          <w:szCs w:val="24"/>
          <w:highlight w:val="none"/>
        </w:rPr>
      </w:pPr>
      <w:r/>
      <w:bookmarkStart w:id="26" w:name="_Toc35393794"/>
      <w:r/>
      <w:bookmarkStart w:id="27" w:name="_Toc35393625"/>
      <w:r/>
      <w:bookmarkStart w:id="28" w:name="_Toc28359007"/>
      <w:r/>
      <w:bookmarkStart w:id="29" w:name="_Toc28359084"/>
      <w:r>
        <w:rPr>
          <w:rFonts w:ascii="Times New Roman" w:hAnsi="Times New Roman" w:eastAsia="宋体"/>
          <w:color w:val="000000"/>
          <w:sz w:val="24"/>
          <w:szCs w:val="24"/>
          <w:highlight w:val="none"/>
        </w:rPr>
        <w:t xml:space="preserve">六、公告期限</w:t>
      </w:r>
      <w:bookmarkEnd w:id="26"/>
      <w:r/>
      <w:bookmarkEnd w:id="27"/>
      <w:r/>
      <w:bookmarkEnd w:id="28"/>
      <w:r/>
      <w:bookmarkEnd w:id="29"/>
      <w:r>
        <w:rPr>
          <w:rFonts w:ascii="Times New Roman" w:hAnsi="Times New Roman" w:eastAsia="宋体"/>
          <w:color w:val="000000"/>
          <w:sz w:val="24"/>
          <w:szCs w:val="24"/>
          <w:highlight w:val="none"/>
        </w:rPr>
      </w:r>
      <w:r/>
    </w:p>
    <w:p>
      <w:pPr>
        <w:pStyle w:val="1122"/>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1122"/>
        <w:ind w:firstLine="480"/>
        <w:spacing w:line="360" w:lineRule="auto"/>
        <w:rPr>
          <w:color w:val="000000"/>
          <w:sz w:val="24"/>
          <w:highlight w:val="none"/>
        </w:rPr>
      </w:pPr>
      <w:r>
        <w:rPr>
          <w:color w:val="000000"/>
          <w:sz w:val="24"/>
          <w:highlight w:val="none"/>
        </w:rPr>
      </w:r>
      <w:r/>
    </w:p>
    <w:p>
      <w:pPr>
        <w:pStyle w:val="1124"/>
        <w:jc w:val="left"/>
        <w:spacing w:before="0" w:line="360" w:lineRule="auto"/>
        <w:rPr>
          <w:rFonts w:ascii="Times New Roman" w:hAnsi="Times New Roman" w:eastAsia="宋体"/>
          <w:color w:val="000000"/>
          <w:sz w:val="24"/>
          <w:szCs w:val="24"/>
          <w:highlight w:val="none"/>
        </w:rPr>
      </w:pPr>
      <w:r/>
      <w:bookmarkStart w:id="30" w:name="_Toc35393795"/>
      <w:r/>
      <w:bookmarkStart w:id="31" w:name="_Toc35393626"/>
      <w:r>
        <w:rPr>
          <w:rFonts w:ascii="Times New Roman" w:hAnsi="Times New Roman" w:eastAsia="宋体"/>
          <w:color w:val="000000"/>
          <w:sz w:val="24"/>
          <w:szCs w:val="24"/>
          <w:highlight w:val="none"/>
        </w:rPr>
        <w:t xml:space="preserve">七、其他补充事宜</w:t>
      </w:r>
      <w:bookmarkEnd w:id="30"/>
      <w:r/>
      <w:bookmarkEnd w:id="31"/>
      <w:r>
        <w:rPr>
          <w:rFonts w:ascii="Times New Roman" w:hAnsi="Times New Roman" w:eastAsia="宋体"/>
          <w:color w:val="000000"/>
          <w:sz w:val="24"/>
          <w:szCs w:val="24"/>
          <w:highlight w:val="none"/>
        </w:rPr>
      </w:r>
      <w:r/>
    </w:p>
    <w:p>
      <w:pPr>
        <w:pStyle w:val="1122"/>
        <w:ind w:firstLine="480"/>
        <w:spacing w:line="360" w:lineRule="auto"/>
        <w:rPr>
          <w:color w:val="000000"/>
          <w:sz w:val="24"/>
          <w:highlight w:val="none"/>
        </w:rPr>
      </w:pPr>
      <w:r>
        <w:rPr>
          <w:color w:val="000000"/>
          <w:sz w:val="24"/>
          <w:highlight w:val="none"/>
        </w:rPr>
        <w:t xml:space="preserve">1.本项目需要落实的政府采购政策：</w:t>
      </w:r>
      <w:r>
        <w:rPr>
          <w:rFonts w:hint="eastAsia"/>
          <w:color w:val="000000"/>
          <w:sz w:val="24"/>
          <w:highlight w:val="none"/>
        </w:rPr>
        <w:t xml:space="preserve">无</w:t>
      </w:r>
      <w:r>
        <w:rPr>
          <w:color w:val="000000"/>
          <w:sz w:val="24"/>
          <w:highlight w:val="none"/>
          <w:lang w:bidi="ar"/>
        </w:rPr>
        <w:t xml:space="preserve">。</w:t>
      </w:r>
      <w:r>
        <w:rPr>
          <w:color w:val="000000"/>
          <w:sz w:val="24"/>
          <w:highlight w:val="none"/>
        </w:rPr>
      </w:r>
      <w:r/>
    </w:p>
    <w:p>
      <w:pPr>
        <w:pStyle w:val="1122"/>
        <w:ind w:firstLine="480"/>
        <w:jc w:val="left"/>
        <w:spacing w:line="360" w:lineRule="auto"/>
        <w:widowControl/>
        <w:rPr>
          <w:bCs/>
          <w:color w:val="000000"/>
          <w:sz w:val="24"/>
          <w:highlight w:val="none"/>
          <w:lang w:bidi="ar"/>
        </w:rPr>
      </w:pPr>
      <w:r>
        <w:rPr>
          <w:color w:val="000000"/>
          <w:sz w:val="24"/>
          <w:highlight w:val="none"/>
          <w:lang w:bidi="ar"/>
        </w:rPr>
        <w:t xml:space="preserve">2.本项目采用全流程电子化采购方式，请供应商认真学习</w:t>
      </w:r>
      <w:r>
        <w:rPr>
          <w:rFonts w:hint="eastAsia"/>
          <w:color w:val="000000"/>
          <w:sz w:val="24"/>
          <w:highlight w:val="none"/>
          <w:lang w:bidi="ar"/>
        </w:rPr>
        <w:t xml:space="preserve">“苏采云”系统</w:t>
      </w:r>
      <w:r>
        <w:rPr>
          <w:color w:val="000000"/>
          <w:sz w:val="24"/>
          <w:highlight w:val="none"/>
          <w:lang w:bidi="ar"/>
        </w:rPr>
        <w:t xml:space="preserve">发布的相关操作手册，办理CA认证证书、进行</w:t>
      </w:r>
      <w:r>
        <w:rPr>
          <w:rFonts w:hint="eastAsia"/>
          <w:color w:val="000000"/>
          <w:sz w:val="24"/>
          <w:highlight w:val="none"/>
          <w:lang w:bidi="ar"/>
        </w:rPr>
        <w:t xml:space="preserve">“苏采云”系统</w:t>
      </w:r>
      <w:r>
        <w:rPr>
          <w:color w:val="000000"/>
          <w:sz w:val="24"/>
          <w:highlight w:val="none"/>
          <w:lang w:bidi="ar"/>
        </w:rPr>
        <w:t xml:space="preserve">注册绑定，并认真核实</w:t>
      </w:r>
      <w:r>
        <w:rPr>
          <w:bCs/>
          <w:color w:val="000000"/>
          <w:sz w:val="24"/>
          <w:highlight w:val="none"/>
          <w:lang w:bidi="ar"/>
        </w:rPr>
        <w:t xml:space="preserve">数字认证证书情况确认是否符合本项目电子化采购流程要求。</w:t>
      </w:r>
      <w:r>
        <w:rPr>
          <w:bCs/>
          <w:color w:val="000000"/>
          <w:sz w:val="24"/>
          <w:highlight w:val="none"/>
          <w:lang w:bidi="ar"/>
        </w:rPr>
      </w:r>
      <w:r/>
    </w:p>
    <w:p>
      <w:pPr>
        <w:pStyle w:val="1122"/>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1122"/>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bidi="ar"/>
        </w:rPr>
        <w:t xml:space="preserve">-</w:t>
      </w:r>
      <w:r>
        <w:rPr>
          <w:color w:val="000000"/>
          <w:sz w:val="24"/>
          <w:highlight w:val="none"/>
          <w:lang w:bidi="ar"/>
        </w:rPr>
        <w:t xml:space="preserve">85588120</w:t>
      </w:r>
      <w:r>
        <w:rPr>
          <w:color w:val="000000"/>
          <w:sz w:val="24"/>
          <w:highlight w:val="none"/>
          <w:lang w:bidi="ar"/>
        </w:rPr>
      </w:r>
      <w:r/>
    </w:p>
    <w:p>
      <w:pPr>
        <w:pStyle w:val="1122"/>
        <w:ind w:firstLine="480"/>
        <w:jc w:val="left"/>
        <w:spacing w:line="360" w:lineRule="auto"/>
        <w:widowControl/>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1122"/>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网“下载中心”下载并查阅</w:t>
      </w:r>
      <w:r>
        <w:rPr>
          <w:color w:val="000000"/>
          <w:sz w:val="24"/>
          <w:highlight w:val="none"/>
          <w:lang w:bidi="ar"/>
        </w:rPr>
        <w:t xml:space="preserve"> </w:t>
      </w:r>
      <w:r>
        <w:rPr>
          <w:rFonts w:hint="eastAsia" w:ascii="宋体" w:hAnsi="宋体"/>
          <w:color w:val="000000"/>
          <w:sz w:val="24"/>
          <w:highlight w:val="none"/>
        </w:rPr>
        <w:t xml:space="preserve">“苏采云”系统</w:t>
      </w:r>
      <w:r>
        <w:rPr>
          <w:color w:val="000000"/>
          <w:sz w:val="24"/>
          <w:highlight w:val="none"/>
          <w:lang w:bidi="ar"/>
        </w:rPr>
        <w:t xml:space="preserve">（供应商）</w:t>
      </w:r>
      <w:r>
        <w:rPr>
          <w:rFonts w:hint="eastAsia"/>
          <w:color w:val="000000"/>
          <w:sz w:val="24"/>
          <w:highlight w:val="none"/>
          <w:lang w:bidi="ar"/>
        </w:rPr>
        <w:t xml:space="preserve">政务CA</w:t>
      </w:r>
      <w:r>
        <w:rPr>
          <w:color w:val="000000"/>
          <w:sz w:val="24"/>
          <w:highlight w:val="none"/>
          <w:lang w:bidi="ar"/>
        </w:rPr>
        <w:t xml:space="preserve">证书办理指南，按照程序要求办理。</w:t>
      </w:r>
      <w:r>
        <w:rPr>
          <w:color w:val="000000"/>
          <w:sz w:val="24"/>
          <w:highlight w:val="none"/>
        </w:rPr>
      </w:r>
      <w:r/>
    </w:p>
    <w:p>
      <w:pPr>
        <w:pStyle w:val="1122"/>
        <w:ind w:firstLine="480"/>
        <w:spacing w:line="360" w:lineRule="auto"/>
        <w:rPr>
          <w:color w:val="000000"/>
          <w:sz w:val="24"/>
          <w:highlight w:val="none"/>
          <w:lang w:bidi="ar"/>
        </w:rPr>
      </w:pPr>
      <w:r>
        <w:rPr>
          <w:color w:val="000000"/>
          <w:sz w:val="24"/>
          <w:highlight w:val="none"/>
          <w:lang w:bidi="ar"/>
        </w:rPr>
        <w:t xml:space="preserve">2.2注册</w:t>
      </w:r>
      <w:r>
        <w:rPr>
          <w:color w:val="000000"/>
          <w:sz w:val="24"/>
          <w:highlight w:val="none"/>
          <w:lang w:bidi="ar"/>
        </w:rPr>
      </w:r>
      <w:r/>
    </w:p>
    <w:p>
      <w:pPr>
        <w:pStyle w:val="1122"/>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1122"/>
        <w:ind w:firstLine="480"/>
        <w:jc w:val="left"/>
        <w:spacing w:line="360" w:lineRule="auto"/>
        <w:widowControl/>
        <w:rPr>
          <w:color w:val="000000"/>
          <w:sz w:val="24"/>
          <w:highlight w:val="none"/>
          <w:lang w:bidi="ar"/>
        </w:rPr>
      </w:pPr>
      <w:r>
        <w:rPr>
          <w:color w:val="000000"/>
          <w:sz w:val="24"/>
          <w:highlight w:val="none"/>
          <w:lang w:bidi="ar"/>
        </w:rPr>
        <w:t xml:space="preserve">2.3</w:t>
      </w:r>
      <w:r>
        <w:rPr>
          <w:rFonts w:hint="eastAsia"/>
          <w:color w:val="000000"/>
          <w:sz w:val="24"/>
          <w:highlight w:val="none"/>
          <w:lang w:bidi="ar"/>
        </w:rPr>
        <w:t xml:space="preserve">控件</w:t>
      </w:r>
      <w:r>
        <w:rPr>
          <w:color w:val="000000"/>
          <w:sz w:val="24"/>
          <w:highlight w:val="none"/>
          <w:lang w:bidi="ar"/>
        </w:rPr>
        <w:t xml:space="preserve">、客户端下载</w:t>
      </w:r>
      <w:r>
        <w:rPr>
          <w:color w:val="000000"/>
          <w:sz w:val="24"/>
          <w:highlight w:val="none"/>
          <w:lang w:bidi="ar"/>
        </w:rPr>
      </w:r>
      <w:r/>
    </w:p>
    <w:p>
      <w:pPr>
        <w:pStyle w:val="1122"/>
        <w:ind w:firstLine="480"/>
        <w:jc w:val="left"/>
        <w:spacing w:line="360" w:lineRule="auto"/>
        <w:widowControl/>
        <w:rPr>
          <w:rFonts w:hint="eastAsia"/>
          <w:color w:val="000000"/>
          <w:sz w:val="24"/>
          <w:highlight w:val="none"/>
          <w:lang w:bidi="ar"/>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网“下载中心”-政府采购管理交易系统（苏采云）CA及签章控件驱动下载相关控件及客户端。</w:t>
      </w:r>
      <w:r>
        <w:rPr>
          <w:rFonts w:hint="eastAsia"/>
          <w:color w:val="000000"/>
          <w:sz w:val="24"/>
          <w:highlight w:val="none"/>
          <w:lang w:bidi="ar"/>
        </w:rPr>
      </w:r>
      <w:r/>
    </w:p>
    <w:p>
      <w:pPr>
        <w:pStyle w:val="1122"/>
        <w:ind w:firstLine="480"/>
        <w:spacing w:line="360" w:lineRule="auto"/>
        <w:rPr>
          <w:color w:val="000000"/>
          <w:sz w:val="24"/>
          <w:highlight w:val="none"/>
          <w:lang w:bidi="ar"/>
        </w:rPr>
      </w:pPr>
      <w:r>
        <w:rPr>
          <w:color w:val="000000"/>
          <w:sz w:val="24"/>
          <w:highlight w:val="none"/>
          <w:lang w:bidi="ar"/>
        </w:rPr>
        <w:t xml:space="preserve">2.4 获取电子磋商文件</w:t>
      </w:r>
      <w:r>
        <w:rPr>
          <w:color w:val="000000"/>
          <w:sz w:val="24"/>
          <w:highlight w:val="none"/>
          <w:lang w:bidi="ar"/>
        </w:rPr>
      </w:r>
      <w:r/>
    </w:p>
    <w:p>
      <w:pPr>
        <w:pStyle w:val="1122"/>
        <w:ind w:firstLine="480"/>
        <w:spacing w:line="360" w:lineRule="auto"/>
        <w:rPr>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获取电子磋商文件。未在规定期限内通过</w:t>
      </w:r>
      <w:r>
        <w:rPr>
          <w:rFonts w:hint="eastAsia"/>
          <w:color w:val="000000"/>
          <w:sz w:val="24"/>
          <w:highlight w:val="none"/>
          <w:lang w:bidi="ar"/>
        </w:rPr>
        <w:t xml:space="preserve">“苏采云”系统</w:t>
      </w:r>
      <w:r>
        <w:rPr>
          <w:color w:val="000000"/>
          <w:sz w:val="24"/>
          <w:highlight w:val="none"/>
          <w:lang w:bidi="ar"/>
        </w:rPr>
        <w:t xml:space="preserve">获取磋商文件的</w:t>
      </w:r>
      <w:r>
        <w:rPr>
          <w:b/>
          <w:color w:val="000000"/>
          <w:sz w:val="24"/>
          <w:highlight w:val="none"/>
          <w:lang w:bidi="ar"/>
        </w:rPr>
        <w:t xml:space="preserve">响应无效</w:t>
      </w:r>
      <w:r>
        <w:rPr>
          <w:color w:val="000000"/>
          <w:sz w:val="24"/>
          <w:highlight w:val="none"/>
          <w:lang w:bidi="ar"/>
        </w:rPr>
        <w:t xml:space="preserve">。</w:t>
      </w:r>
      <w:r>
        <w:rPr>
          <w:color w:val="000000"/>
          <w:sz w:val="24"/>
          <w:highlight w:val="none"/>
          <w:lang w:bidi="ar"/>
        </w:rPr>
      </w:r>
      <w:r/>
    </w:p>
    <w:p>
      <w:pPr>
        <w:pStyle w:val="1122"/>
        <w:ind w:firstLine="480"/>
        <w:spacing w:line="360" w:lineRule="auto"/>
        <w:rPr>
          <w:color w:val="000000"/>
          <w:sz w:val="24"/>
          <w:highlight w:val="none"/>
          <w:lang w:bidi="ar"/>
        </w:rPr>
      </w:pPr>
      <w:r>
        <w:rPr>
          <w:color w:val="000000"/>
          <w:sz w:val="24"/>
          <w:highlight w:val="none"/>
          <w:lang w:bidi="ar"/>
        </w:rPr>
        <w:t xml:space="preserve">2.5编制电子响应文件</w:t>
      </w:r>
      <w:r>
        <w:rPr>
          <w:color w:val="000000"/>
          <w:sz w:val="24"/>
          <w:highlight w:val="none"/>
          <w:lang w:bidi="ar"/>
        </w:rPr>
      </w:r>
      <w:r/>
    </w:p>
    <w:p>
      <w:pPr>
        <w:pStyle w:val="1122"/>
        <w:ind w:firstLine="480"/>
        <w:spacing w:line="360" w:lineRule="auto"/>
        <w:rPr>
          <w:color w:val="000000"/>
          <w:sz w:val="24"/>
          <w:highlight w:val="none"/>
          <w:lang w:bidi="ar"/>
        </w:rPr>
      </w:pPr>
      <w:r>
        <w:rPr>
          <w:color w:val="000000"/>
          <w:sz w:val="24"/>
          <w:highlight w:val="none"/>
          <w:lang w:bidi="ar"/>
        </w:rPr>
        <w:t xml:space="preserve">供应商应使用电子响应</w:t>
      </w:r>
      <w:r>
        <w:rPr>
          <w:rFonts w:hint="eastAsia"/>
          <w:color w:val="000000"/>
          <w:sz w:val="24"/>
          <w:highlight w:val="none"/>
          <w:lang w:bidi="ar"/>
        </w:rPr>
        <w:t xml:space="preserve">文件制作</w:t>
      </w:r>
      <w:r>
        <w:rPr>
          <w:color w:val="000000"/>
          <w:sz w:val="24"/>
          <w:highlight w:val="none"/>
          <w:lang w:bidi="ar"/>
        </w:rPr>
        <w:t xml:space="preserve">客户端编制电子响应文件并进行线上响应，供应商电子响应文件需要加密并加盖电子签章</w:t>
      </w:r>
      <w:r>
        <w:rPr>
          <w:bCs/>
          <w:color w:val="000000"/>
          <w:sz w:val="24"/>
          <w:highlight w:val="none"/>
          <w:lang w:bidi="ar"/>
        </w:rPr>
        <w:t xml:space="preserve">，如无法按照要求在电子响应文件中加盖电子签章和加密，请及时通过技术支持服务热线联系技术人员</w:t>
      </w:r>
      <w:r>
        <w:rPr>
          <w:color w:val="000000"/>
          <w:sz w:val="24"/>
          <w:highlight w:val="none"/>
          <w:lang w:bidi="ar"/>
        </w:rPr>
        <w:t xml:space="preserve">。</w:t>
      </w:r>
      <w:r>
        <w:rPr>
          <w:color w:val="000000"/>
          <w:sz w:val="24"/>
          <w:highlight w:val="none"/>
          <w:lang w:bidi="ar"/>
        </w:rPr>
      </w:r>
      <w:r/>
    </w:p>
    <w:p>
      <w:pPr>
        <w:pStyle w:val="1122"/>
        <w:ind w:firstLine="480"/>
        <w:jc w:val="left"/>
        <w:spacing w:line="360" w:lineRule="auto"/>
        <w:widowControl/>
        <w:rPr>
          <w:color w:val="000000"/>
          <w:sz w:val="24"/>
          <w:highlight w:val="none"/>
          <w:lang w:val="zh-TW" w:bidi="ar"/>
        </w:rPr>
      </w:pPr>
      <w:r>
        <w:rPr>
          <w:rFonts w:eastAsia="PMingLiU"/>
          <w:color w:val="000000"/>
          <w:sz w:val="24"/>
          <w:highlight w:val="none"/>
          <w:lang w:val="zh-TW" w:eastAsia="zh-TW" w:bidi="ar"/>
        </w:rPr>
        <w:t xml:space="preserve">2</w:t>
      </w:r>
      <w:r>
        <w:rPr>
          <w:color w:val="000000"/>
          <w:sz w:val="24"/>
          <w:highlight w:val="none"/>
          <w:lang w:val="zh-TW" w:eastAsia="zh-TW" w:bidi="ar"/>
        </w:rPr>
        <w:t xml:space="preserve">.6</w:t>
      </w:r>
      <w:r>
        <w:rPr>
          <w:color w:val="000000"/>
          <w:sz w:val="24"/>
          <w:highlight w:val="none"/>
          <w:lang w:val="zh-TW" w:bidi="ar"/>
        </w:rPr>
        <w:t xml:space="preserve">提交电子响应文件</w:t>
      </w:r>
      <w:r>
        <w:rPr>
          <w:color w:val="000000"/>
          <w:sz w:val="24"/>
          <w:highlight w:val="none"/>
          <w:lang w:val="zh-TW" w:bidi="ar"/>
        </w:rPr>
      </w:r>
      <w:r/>
    </w:p>
    <w:p>
      <w:pPr>
        <w:pStyle w:val="1122"/>
        <w:ind w:firstLine="480"/>
        <w:jc w:val="left"/>
        <w:spacing w:line="360" w:lineRule="auto"/>
        <w:widowControl/>
        <w:rPr>
          <w:color w:val="000000"/>
          <w:sz w:val="24"/>
          <w:highlight w:val="none"/>
          <w:lang w:bidi="ar"/>
        </w:rPr>
      </w:pPr>
      <w:r>
        <w:rPr>
          <w:color w:val="000000"/>
          <w:sz w:val="24"/>
          <w:highlight w:val="none"/>
          <w:lang w:bidi="ar"/>
        </w:rPr>
        <w:t xml:space="preserve">供应商应于响应截止时间前在</w:t>
      </w:r>
      <w:r>
        <w:rPr>
          <w:rFonts w:hint="eastAsia"/>
          <w:color w:val="000000"/>
          <w:sz w:val="24"/>
          <w:highlight w:val="none"/>
          <w:lang w:bidi="ar"/>
        </w:rPr>
        <w:t xml:space="preserve">“苏采云”系统</w:t>
      </w:r>
      <w:r>
        <w:rPr>
          <w:color w:val="000000"/>
          <w:sz w:val="24"/>
          <w:highlight w:val="none"/>
          <w:lang w:bidi="ar"/>
        </w:rPr>
        <w:t xml:space="preserve">提交电子响应文件，上传电子响应文件过程中请保持与互联网的连接畅通。</w:t>
      </w:r>
      <w:r>
        <w:rPr>
          <w:color w:val="000000"/>
          <w:sz w:val="24"/>
          <w:highlight w:val="none"/>
          <w:lang w:bidi="ar"/>
        </w:rPr>
      </w:r>
      <w:r/>
    </w:p>
    <w:p>
      <w:pPr>
        <w:pStyle w:val="1122"/>
        <w:ind w:firstLine="480"/>
        <w:jc w:val="left"/>
        <w:spacing w:line="360" w:lineRule="auto"/>
        <w:widowControl/>
        <w:rPr>
          <w:color w:val="000000"/>
          <w:sz w:val="24"/>
          <w:highlight w:val="none"/>
          <w:lang w:eastAsia="zh-TW" w:bidi="ar"/>
        </w:rPr>
      </w:pPr>
      <w:r>
        <w:rPr>
          <w:rFonts w:eastAsia="PMingLiU"/>
          <w:color w:val="000000"/>
          <w:sz w:val="24"/>
          <w:highlight w:val="none"/>
          <w:lang w:val="zh-TW" w:eastAsia="zh-TW" w:bidi="ar"/>
        </w:rPr>
        <w:t xml:space="preserve">2</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rPr>
          <w:color w:val="000000"/>
          <w:sz w:val="24"/>
          <w:highlight w:val="none"/>
          <w:lang w:eastAsia="zh-TW" w:bidi="ar"/>
        </w:rPr>
      </w:r>
      <w:r/>
    </w:p>
    <w:p>
      <w:pPr>
        <w:pStyle w:val="1122"/>
        <w:ind w:firstLine="480"/>
        <w:spacing w:line="360" w:lineRule="auto"/>
        <w:rPr>
          <w:rFonts w:hint="eastAsia"/>
          <w:color w:val="000000"/>
          <w:sz w:val="24"/>
          <w:highlight w:val="none"/>
          <w:lang w:val="zh-TW" w:bidi="ar"/>
        </w:rPr>
      </w:pPr>
      <w:r>
        <w:rPr>
          <w:color w:val="000000"/>
          <w:sz w:val="24"/>
          <w:highlight w:val="none"/>
          <w:lang w:val="zh-TW" w:bidi="ar"/>
        </w:rPr>
        <w:t xml:space="preserve">供应商使用</w:t>
      </w:r>
      <w:r>
        <w:rPr>
          <w:color w:val="000000"/>
          <w:sz w:val="24"/>
          <w:highlight w:val="none"/>
          <w:lang w:bidi="ar"/>
        </w:rPr>
        <w:t xml:space="preserve">CA认证证书</w:t>
      </w:r>
      <w:r>
        <w:rPr>
          <w:color w:val="000000"/>
          <w:sz w:val="24"/>
          <w:highlight w:val="none"/>
          <w:lang w:val="zh-TW" w:bidi="ar"/>
        </w:rPr>
        <w:t xml:space="preserve">登录</w:t>
      </w:r>
      <w:r>
        <w:rPr>
          <w:rFonts w:hint="eastAsia"/>
          <w:color w:val="000000"/>
          <w:sz w:val="24"/>
          <w:highlight w:val="none"/>
          <w:lang w:bidi="ar"/>
        </w:rPr>
        <w:t xml:space="preserve">“苏采云”系统</w:t>
      </w:r>
      <w:r>
        <w:rPr>
          <w:color w:val="000000"/>
          <w:sz w:val="24"/>
          <w:highlight w:val="none"/>
          <w:lang w:bidi="ar"/>
        </w:rPr>
        <w:t xml:space="preserve">进行电子</w:t>
      </w:r>
      <w:r>
        <w:rPr>
          <w:rFonts w:hint="eastAsia"/>
          <w:color w:val="000000"/>
          <w:sz w:val="24"/>
          <w:highlight w:val="none"/>
          <w:lang w:bidi="ar"/>
        </w:rPr>
        <w:t xml:space="preserve">化不见面</w:t>
      </w:r>
      <w:r>
        <w:rPr>
          <w:color w:val="000000"/>
          <w:sz w:val="24"/>
          <w:highlight w:val="none"/>
          <w:lang w:bidi="ar"/>
        </w:rPr>
        <w:t xml:space="preserve">开标</w:t>
      </w:r>
      <w:r>
        <w:rPr>
          <w:color w:val="000000"/>
          <w:sz w:val="24"/>
          <w:highlight w:val="none"/>
          <w:lang w:val="zh-TW" w:bidi="ar"/>
        </w:rPr>
        <w:t xml:space="preserve">。</w:t>
      </w:r>
      <w:r>
        <w:rPr>
          <w:rFonts w:hint="eastAsia"/>
          <w:color w:val="000000"/>
          <w:sz w:val="24"/>
          <w:highlight w:val="none"/>
          <w:lang w:val="zh-TW" w:bidi="ar"/>
        </w:rPr>
      </w:r>
      <w:r/>
    </w:p>
    <w:p>
      <w:pPr>
        <w:pStyle w:val="1122"/>
        <w:ind w:firstLine="480"/>
        <w:spacing w:line="360" w:lineRule="auto"/>
        <w:rPr>
          <w:rFonts w:hint="eastAsia"/>
          <w:color w:val="000000"/>
          <w:sz w:val="24"/>
          <w:highlight w:val="none"/>
          <w:lang w:val="zh-TW" w:bidi="ar"/>
        </w:rPr>
      </w:pPr>
      <w:r>
        <w:rPr>
          <w:rFonts w:eastAsia="PMingLiU"/>
          <w:color w:val="000000"/>
          <w:sz w:val="24"/>
          <w:highlight w:val="none"/>
          <w:lang w:val="zh-TW" w:eastAsia="zh-TW" w:bidi="ar"/>
        </w:rPr>
        <w:t xml:space="preserve">2</w:t>
      </w:r>
      <w:r>
        <w:rPr>
          <w:rFonts w:hint="eastAsia"/>
          <w:color w:val="000000"/>
          <w:sz w:val="24"/>
          <w:highlight w:val="none"/>
          <w:lang w:val="zh-TW" w:bidi="ar"/>
        </w:rPr>
        <w:t xml:space="preserve">.8注意事项</w:t>
      </w:r>
      <w:r>
        <w:rPr>
          <w:rFonts w:hint="eastAsia"/>
          <w:color w:val="000000"/>
          <w:sz w:val="24"/>
          <w:highlight w:val="none"/>
          <w:lang w:val="zh-TW" w:bidi="ar"/>
        </w:rPr>
      </w:r>
      <w:r/>
    </w:p>
    <w:p>
      <w:pPr>
        <w:pStyle w:val="1122"/>
        <w:ind w:firstLine="480"/>
        <w:spacing w:line="360" w:lineRule="auto"/>
        <w:rPr>
          <w:color w:val="000000"/>
          <w:sz w:val="24"/>
          <w:highlight w:val="none"/>
          <w:lang w:eastAsia="zh-TW"/>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进行操作，否则造成相应后果由供应商自行承担。</w:t>
      </w:r>
      <w:r>
        <w:rPr>
          <w:color w:val="000000"/>
          <w:sz w:val="24"/>
          <w:highlight w:val="none"/>
          <w:lang w:eastAsia="zh-TW"/>
        </w:rPr>
      </w:r>
      <w:r/>
    </w:p>
    <w:p>
      <w:pPr>
        <w:pStyle w:val="1122"/>
        <w:ind w:firstLine="480"/>
        <w:spacing w:line="360" w:lineRule="auto"/>
        <w:rPr>
          <w:color w:val="000000"/>
          <w:sz w:val="24"/>
          <w:highlight w:val="none"/>
          <w:lang w:val="zh-TW" w:bidi="ar"/>
        </w:rPr>
      </w:pPr>
      <w:r>
        <w:rPr>
          <w:rFonts w:eastAsia="PMingLiU"/>
          <w:color w:val="000000"/>
          <w:sz w:val="24"/>
          <w:highlight w:val="none"/>
          <w:lang w:val="zh-TW" w:eastAsia="zh-TW"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1122"/>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val="zh-TW" w:bidi="ar"/>
        </w:rPr>
      </w:r>
      <w:r/>
    </w:p>
    <w:p>
      <w:pPr>
        <w:pStyle w:val="1124"/>
        <w:jc w:val="left"/>
        <w:spacing w:before="0" w:line="360" w:lineRule="auto"/>
        <w:rPr>
          <w:rFonts w:ascii="Times New Roman" w:hAnsi="Times New Roman" w:eastAsia="宋体"/>
          <w:color w:val="000000"/>
          <w:sz w:val="24"/>
          <w:szCs w:val="24"/>
          <w:highlight w:val="none"/>
        </w:rPr>
      </w:pPr>
      <w:r/>
      <w:bookmarkStart w:id="32" w:name="_Toc35393796"/>
      <w:r/>
      <w:bookmarkStart w:id="33" w:name="_Toc28359008"/>
      <w:r/>
      <w:bookmarkStart w:id="34" w:name="_Toc28359085"/>
      <w:r/>
      <w:bookmarkStart w:id="35" w:name="_Toc35393627"/>
      <w:r>
        <w:rPr>
          <w:rFonts w:ascii="Times New Roman" w:hAnsi="Times New Roman" w:eastAsia="宋体"/>
          <w:color w:val="000000"/>
          <w:sz w:val="24"/>
          <w:szCs w:val="24"/>
          <w:highlight w:val="none"/>
        </w:rPr>
        <w:t xml:space="preserve">八、对本项目提出询问，请按以下方式联系。</w:t>
      </w:r>
      <w:bookmarkEnd w:id="32"/>
      <w:r/>
      <w:bookmarkEnd w:id="33"/>
      <w:r/>
      <w:bookmarkEnd w:id="34"/>
      <w:r/>
      <w:bookmarkEnd w:id="35"/>
      <w:r>
        <w:rPr>
          <w:rFonts w:ascii="Times New Roman" w:hAnsi="Times New Roman" w:eastAsia="宋体"/>
          <w:color w:val="000000"/>
          <w:sz w:val="24"/>
          <w:szCs w:val="24"/>
          <w:highlight w:val="none"/>
        </w:rPr>
      </w:r>
      <w:r/>
    </w:p>
    <w:p>
      <w:pPr>
        <w:pStyle w:val="1122"/>
        <w:ind w:left="854" w:hanging="434"/>
        <w:jc w:val="left"/>
        <w:spacing w:line="360" w:lineRule="auto"/>
        <w:rPr>
          <w:b/>
          <w:color w:val="000000"/>
          <w:sz w:val="24"/>
          <w:highlight w:val="none"/>
        </w:rPr>
      </w:pPr>
      <w:r>
        <w:rPr>
          <w:b/>
          <w:color w:val="000000"/>
          <w:sz w:val="24"/>
          <w:highlight w:val="none"/>
        </w:rPr>
        <w:t xml:space="preserve">1.采购人信息</w:t>
      </w:r>
      <w:r>
        <w:rPr>
          <w:b/>
          <w:color w:val="000000"/>
          <w:sz w:val="24"/>
          <w:highlight w:val="none"/>
        </w:rPr>
      </w:r>
      <w:r/>
    </w:p>
    <w:p>
      <w:pPr>
        <w:pStyle w:val="1122"/>
        <w:ind w:left="852" w:hanging="432"/>
        <w:jc w:val="left"/>
        <w:spacing w:line="360" w:lineRule="auto"/>
        <w:rPr>
          <w:rFonts w:hint="eastAsia" w:ascii="Times New Roman" w:hAnsi="Times New Roman" w:eastAsia="宋体" w:cs="Times New Roman"/>
          <w:color w:val="000000"/>
          <w:sz w:val="24"/>
          <w:highlight w:val="none"/>
          <w:lang w:eastAsia="zh-CN"/>
        </w:rPr>
      </w:pPr>
      <w:r/>
      <w:bookmarkStart w:id="36" w:name="_Toc28359009"/>
      <w:r/>
      <w:bookmarkStart w:id="37"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江苏省常州体育运动学校</w:t>
      </w:r>
      <w:r>
        <w:rPr>
          <w:rFonts w:hint="eastAsia" w:ascii="Times New Roman" w:hAnsi="Times New Roman" w:eastAsia="宋体" w:cs="Times New Roman"/>
          <w:color w:val="000000"/>
          <w:sz w:val="24"/>
          <w:highlight w:val="none"/>
          <w:lang w:eastAsia="zh-CN"/>
        </w:rPr>
      </w:r>
      <w:r/>
    </w:p>
    <w:p>
      <w:pPr>
        <w:pStyle w:val="1122"/>
        <w:ind w:left="852" w:hanging="432"/>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 xml:space="preserve"> 址：</w:t>
      </w:r>
      <w:r>
        <w:rPr>
          <w:rFonts w:hint="eastAsia" w:ascii="Times New Roman" w:hAnsi="Times New Roman" w:eastAsia="宋体" w:cs="Times New Roman"/>
          <w:color w:val="000000"/>
          <w:sz w:val="24"/>
          <w:highlight w:val="none"/>
          <w:lang w:val="en-US" w:eastAsia="zh-CN"/>
        </w:rPr>
        <w:t xml:space="preserve">常州市新北区</w:t>
      </w:r>
      <w:r>
        <w:rPr>
          <w:rFonts w:hint="eastAsia" w:ascii="Times New Roman" w:hAnsi="Times New Roman" w:eastAsia="宋体" w:cs="Times New Roman"/>
          <w:color w:val="000000"/>
          <w:sz w:val="24"/>
          <w:highlight w:val="none"/>
        </w:rPr>
        <w:t xml:space="preserve">晋陵北路11号</w:t>
      </w:r>
      <w:r>
        <w:rPr>
          <w:rFonts w:hint="eastAsia" w:ascii="Times New Roman" w:hAnsi="Times New Roman" w:eastAsia="宋体" w:cs="Times New Roman"/>
          <w:color w:val="000000"/>
          <w:sz w:val="24"/>
          <w:highlight w:val="none"/>
        </w:rPr>
      </w:r>
      <w:r/>
    </w:p>
    <w:p>
      <w:pPr>
        <w:pStyle w:val="1122"/>
        <w:ind w:left="852" w:hanging="432"/>
        <w:jc w:val="left"/>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联系人：</w:t>
      </w:r>
      <w:r>
        <w:rPr>
          <w:rFonts w:ascii="Times New Roman" w:hAnsi="Times New Roman" w:eastAsia="宋体" w:cs="Times New Roman"/>
          <w:color w:val="000000"/>
          <w:sz w:val="24"/>
          <w:highlight w:val="none"/>
          <w:lang w:val="en-US" w:eastAsia="zh-CN"/>
        </w:rPr>
        <w:t xml:space="preserve">金</w:t>
      </w:r>
      <w:r>
        <w:rPr>
          <w:rFonts w:hint="eastAsia" w:ascii="Times New Roman" w:hAnsi="Times New Roman" w:eastAsia="宋体" w:cs="Times New Roman"/>
          <w:color w:val="000000"/>
          <w:sz w:val="24"/>
          <w:highlight w:val="none"/>
          <w:lang w:val="en-US" w:eastAsia="zh-CN"/>
        </w:rPr>
        <w:t xml:space="preserve">老师</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en-US" w:eastAsia="zh-CN"/>
        </w:rPr>
      </w:r>
      <w:r/>
    </w:p>
    <w:p>
      <w:pPr>
        <w:pStyle w:val="1122"/>
        <w:ind w:left="852" w:hanging="432"/>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联系电话：</w:t>
      </w:r>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3584330745</w:t>
      </w:r>
      <w:r>
        <w:rPr>
          <w:rFonts w:hint="eastAsia" w:ascii="Times New Roman" w:hAnsi="Times New Roman" w:eastAsia="宋体" w:cs="Times New Roman"/>
          <w:color w:val="000000"/>
          <w:sz w:val="24"/>
          <w:highlight w:val="none"/>
        </w:rPr>
      </w:r>
      <w:r/>
    </w:p>
    <w:p>
      <w:pPr>
        <w:pStyle w:val="1122"/>
        <w:ind w:left="854" w:hanging="434"/>
        <w:jc w:val="left"/>
        <w:spacing w:line="360" w:lineRule="auto"/>
        <w:rPr>
          <w:b/>
          <w:color w:val="000000"/>
          <w:sz w:val="24"/>
          <w:highlight w:val="none"/>
        </w:rPr>
      </w:pPr>
      <w:r>
        <w:rPr>
          <w:b/>
          <w:color w:val="000000"/>
          <w:sz w:val="24"/>
          <w:highlight w:val="none"/>
        </w:rPr>
        <w:t xml:space="preserve">2.采购代理机构信息</w:t>
      </w:r>
      <w:bookmarkEnd w:id="36"/>
      <w:r/>
      <w:bookmarkEnd w:id="37"/>
      <w:r>
        <w:rPr>
          <w:b/>
          <w:color w:val="000000"/>
          <w:sz w:val="24"/>
          <w:highlight w:val="none"/>
        </w:rPr>
      </w:r>
      <w:r/>
    </w:p>
    <w:p>
      <w:pPr>
        <w:pStyle w:val="1122"/>
        <w:ind w:left="852" w:hanging="432"/>
        <w:jc w:val="left"/>
        <w:spacing w:line="360" w:lineRule="auto"/>
        <w:rPr>
          <w:color w:val="000000"/>
          <w:sz w:val="24"/>
          <w:highlight w:val="none"/>
        </w:rPr>
      </w:pPr>
      <w:r/>
      <w:bookmarkStart w:id="38" w:name="_Toc28359010"/>
      <w:r/>
      <w:bookmarkStart w:id="39" w:name="_Toc28359087"/>
      <w:r>
        <w:rPr>
          <w:color w:val="000000"/>
          <w:sz w:val="24"/>
          <w:highlight w:val="none"/>
        </w:rPr>
        <w:t xml:space="preserve">名  称：</w:t>
      </w:r>
      <w:r>
        <w:rPr>
          <w:rFonts w:hint="eastAsia"/>
          <w:color w:val="000000"/>
          <w:sz w:val="24"/>
          <w:highlight w:val="none"/>
        </w:rPr>
        <w:t xml:space="preserve">常州盈泰招标有限公司</w:t>
      </w:r>
      <w:r>
        <w:rPr>
          <w:color w:val="000000"/>
          <w:sz w:val="24"/>
          <w:highlight w:val="none"/>
        </w:rPr>
      </w:r>
      <w:r/>
    </w:p>
    <w:p>
      <w:pPr>
        <w:pStyle w:val="1122"/>
        <w:ind w:left="852" w:hanging="432"/>
        <w:jc w:val="left"/>
        <w:spacing w:line="360" w:lineRule="auto"/>
        <w:rPr>
          <w:rFonts w:hint="eastAsia"/>
          <w:color w:val="000000"/>
          <w:sz w:val="24"/>
          <w:highlight w:val="none"/>
        </w:rPr>
      </w:pPr>
      <w:r>
        <w:rPr>
          <w:color w:val="000000"/>
          <w:sz w:val="24"/>
          <w:highlight w:val="none"/>
        </w:rPr>
        <w:t xml:space="preserve">地  址：</w:t>
      </w:r>
      <w:r>
        <w:rPr>
          <w:rFonts w:hint="eastAsia"/>
          <w:color w:val="000000"/>
          <w:sz w:val="24"/>
          <w:highlight w:val="none"/>
        </w:rPr>
        <w:t xml:space="preserve">常州市新北区太湖中路8号锦湖创新中心A座11楼</w:t>
      </w:r>
      <w:r>
        <w:rPr>
          <w:rFonts w:hint="eastAsia"/>
          <w:color w:val="000000"/>
          <w:sz w:val="24"/>
          <w:highlight w:val="none"/>
        </w:rPr>
      </w:r>
      <w:r/>
    </w:p>
    <w:p>
      <w:pPr>
        <w:pStyle w:val="1122"/>
        <w:ind w:left="852" w:hanging="432"/>
        <w:jc w:val="left"/>
        <w:spacing w:line="360" w:lineRule="auto"/>
        <w:rPr>
          <w:color w:val="000000"/>
          <w:sz w:val="24"/>
          <w:highlight w:val="none"/>
        </w:rPr>
      </w:pPr>
      <w:r>
        <w:rPr>
          <w:color w:val="000000"/>
          <w:sz w:val="24"/>
          <w:highlight w:val="none"/>
        </w:rPr>
        <w:t xml:space="preserve">联系方式：</w:t>
      </w:r>
      <w:r>
        <w:rPr>
          <w:rFonts w:hint="eastAsia"/>
          <w:color w:val="000000"/>
          <w:sz w:val="24"/>
          <w:highlight w:val="none"/>
        </w:rPr>
        <w:t xml:space="preserve">0519-89853339</w:t>
      </w:r>
      <w:r>
        <w:rPr>
          <w:color w:val="000000"/>
          <w:sz w:val="24"/>
          <w:highlight w:val="none"/>
        </w:rPr>
      </w:r>
      <w:r/>
    </w:p>
    <w:p>
      <w:pPr>
        <w:pStyle w:val="1122"/>
        <w:ind w:left="854" w:hanging="434"/>
        <w:spacing w:line="360" w:lineRule="auto"/>
        <w:rPr>
          <w:b/>
          <w:color w:val="000000"/>
          <w:sz w:val="24"/>
          <w:highlight w:val="none"/>
          <w:u w:val="single"/>
        </w:rPr>
      </w:pPr>
      <w:r>
        <w:rPr>
          <w:b/>
          <w:color w:val="000000"/>
          <w:sz w:val="24"/>
          <w:highlight w:val="none"/>
        </w:rPr>
        <w:t xml:space="preserve">3.项目联系方式</w:t>
      </w:r>
      <w:bookmarkEnd w:id="38"/>
      <w:r/>
      <w:bookmarkEnd w:id="39"/>
      <w:r>
        <w:rPr>
          <w:b/>
          <w:color w:val="000000"/>
          <w:sz w:val="24"/>
          <w:highlight w:val="none"/>
          <w:u w:val="single"/>
        </w:rPr>
      </w:r>
      <w:r/>
    </w:p>
    <w:p>
      <w:pPr>
        <w:pStyle w:val="1122"/>
        <w:ind w:left="852" w:hanging="432"/>
        <w:spacing w:line="360" w:lineRule="auto"/>
        <w:rPr>
          <w:rFonts w:hint="eastAsia" w:ascii="宋体" w:hAnsi="Courier New"/>
          <w:color w:val="000000"/>
          <w:sz w:val="24"/>
          <w:szCs w:val="20"/>
          <w:highlight w:val="none"/>
        </w:rPr>
      </w:pPr>
      <w:r>
        <w:rPr>
          <w:color w:val="000000"/>
          <w:sz w:val="24"/>
          <w:highlight w:val="none"/>
        </w:rPr>
        <w:t xml:space="preserve">项目联系人：</w:t>
      </w:r>
      <w:r>
        <w:rPr>
          <w:rFonts w:hint="eastAsia" w:ascii="宋体" w:hAnsi="Courier New"/>
          <w:color w:val="000000"/>
          <w:sz w:val="24"/>
          <w:szCs w:val="20"/>
          <w:highlight w:val="none"/>
        </w:rPr>
        <w:t xml:space="preserve">王女士      </w:t>
      </w:r>
      <w:r>
        <w:rPr>
          <w:rFonts w:hint="eastAsia" w:ascii="宋体" w:hAnsi="Courier New"/>
          <w:color w:val="000000"/>
          <w:sz w:val="24"/>
          <w:szCs w:val="20"/>
          <w:highlight w:val="none"/>
        </w:rPr>
      </w:r>
      <w:r/>
    </w:p>
    <w:p>
      <w:pPr>
        <w:pStyle w:val="1122"/>
        <w:ind w:left="852" w:hanging="432"/>
        <w:spacing w:line="360" w:lineRule="auto"/>
        <w:rPr>
          <w:color w:val="000000"/>
          <w:sz w:val="24"/>
          <w:highlight w:val="none"/>
        </w:rPr>
      </w:pPr>
      <w:r>
        <w:rPr>
          <w:color w:val="000000"/>
          <w:sz w:val="24"/>
          <w:highlight w:val="none"/>
        </w:rPr>
        <w:t xml:space="preserve">电  话：</w:t>
      </w:r>
      <w:r>
        <w:rPr>
          <w:rFonts w:hint="eastAsia"/>
          <w:color w:val="000000"/>
          <w:sz w:val="24"/>
          <w:highlight w:val="none"/>
        </w:rPr>
        <w:t xml:space="preserve">0519-89853339</w:t>
      </w:r>
      <w:r>
        <w:rPr>
          <w:color w:val="000000"/>
          <w:sz w:val="24"/>
          <w:highlight w:val="none"/>
        </w:rPr>
      </w:r>
      <w:r/>
    </w:p>
    <w:p>
      <w:pPr>
        <w:pStyle w:val="1122"/>
        <w:ind w:left="854" w:hanging="434"/>
        <w:jc w:val="left"/>
        <w:spacing w:line="360" w:lineRule="auto"/>
        <w:rPr>
          <w:rFonts w:hint="eastAsia"/>
          <w:color w:val="000000"/>
          <w:sz w:val="24"/>
          <w:highlight w:val="none"/>
        </w:rPr>
      </w:pPr>
      <w:r>
        <w:rPr>
          <w:rFonts w:hint="eastAsia"/>
          <w:b/>
          <w:bCs/>
          <w:color w:val="000000"/>
          <w:sz w:val="24"/>
          <w:highlight w:val="none"/>
        </w:rPr>
        <w:t xml:space="preserve">注：</w:t>
      </w:r>
      <w:r>
        <w:rPr>
          <w:rFonts w:hint="eastAsia"/>
          <w:color w:val="000000"/>
          <w:sz w:val="24"/>
          <w:highlight w:val="none"/>
        </w:rPr>
        <w:t xml:space="preserve">以上个人信息，由于工作需要经机构或本人同意对外公布。</w:t>
      </w:r>
      <w:bookmarkEnd w:id="6"/>
      <w:r/>
      <w:bookmarkEnd w:id="7"/>
      <w:r/>
      <w:bookmarkStart w:id="40" w:name="_Toc150774783"/>
      <w:r/>
      <w:bookmarkStart w:id="41" w:name="_Toc305158928"/>
      <w:r/>
      <w:bookmarkStart w:id="42" w:name="_Toc127161488"/>
      <w:r/>
      <w:bookmarkStart w:id="43" w:name="_Toc195842950"/>
      <w:r/>
      <w:bookmarkStart w:id="44" w:name="_Toc305158854"/>
      <w:r/>
      <w:bookmarkStart w:id="45" w:name="_Toc512937850"/>
      <w:r/>
      <w:bookmarkStart w:id="46" w:name="_Toc226965856"/>
      <w:r/>
      <w:bookmarkStart w:id="47" w:name="_Toc127151777"/>
      <w:r/>
      <w:bookmarkStart w:id="48" w:name="_Toc264969275"/>
      <w:r/>
      <w:bookmarkStart w:id="49" w:name="_Toc353873938"/>
      <w:r/>
      <w:bookmarkStart w:id="50" w:name="_Toc265228423"/>
      <w:r/>
      <w:bookmarkStart w:id="51" w:name="_Toc353825548"/>
      <w:r>
        <w:rPr>
          <w:rFonts w:hint="eastAsia"/>
          <w:color w:val="000000"/>
          <w:sz w:val="24"/>
          <w:highlight w:val="none"/>
        </w:rPr>
      </w:r>
      <w:r/>
    </w:p>
    <w:p>
      <w:pPr>
        <w:pStyle w:val="1122"/>
        <w:jc w:val="center"/>
        <w:spacing w:line="360" w:lineRule="auto"/>
        <w:rPr>
          <w:b/>
          <w:color w:val="000000"/>
          <w:sz w:val="32"/>
          <w:szCs w:val="32"/>
          <w:highlight w:val="none"/>
        </w:rPr>
        <w:outlineLvl w:val="0"/>
      </w:pPr>
      <w:r>
        <w:rPr>
          <w:b/>
          <w:color w:val="000000"/>
          <w:sz w:val="36"/>
          <w:szCs w:val="36"/>
          <w:highlight w:val="none"/>
        </w:rPr>
        <w:br w:type="page" w:clear="all"/>
      </w:r>
      <w:bookmarkStart w:id="52" w:name="_Toc14273"/>
      <w:r>
        <w:rPr>
          <w:rFonts w:ascii="Times New Roman" w:hAnsi="Times New Roman" w:eastAsia="宋体" w:cs="Times New Roman"/>
          <w:b/>
          <w:color w:val="000000"/>
          <w:sz w:val="36"/>
          <w:szCs w:val="36"/>
          <w:highlight w:val="none"/>
        </w:rPr>
        <w:t xml:space="preserve">第二章   供应商须知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b/>
          <w:color w:val="000000"/>
          <w:sz w:val="32"/>
          <w:szCs w:val="32"/>
          <w:highlight w:val="none"/>
        </w:rPr>
      </w:r>
      <w:r/>
    </w:p>
    <w:p>
      <w:pPr>
        <w:pStyle w:val="1124"/>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3" w:name="_Toc127161433"/>
      <w:r/>
      <w:bookmarkStart w:id="54" w:name="_Toc150480757"/>
      <w:r/>
      <w:bookmarkStart w:id="55" w:name="_Toc164608788"/>
      <w:r/>
      <w:bookmarkStart w:id="56" w:name="_Toc151193907"/>
      <w:r/>
      <w:bookmarkStart w:id="57" w:name="_Toc150774724"/>
      <w:r/>
      <w:bookmarkStart w:id="58" w:name="_Toc164229214"/>
      <w:r/>
      <w:bookmarkStart w:id="59" w:name="_Toc520356144"/>
      <w:r/>
      <w:bookmarkStart w:id="60" w:name="_Toc226965709"/>
      <w:r/>
      <w:bookmarkStart w:id="61" w:name="_Toc195842884"/>
      <w:r/>
      <w:bookmarkStart w:id="62" w:name="_Toc149720812"/>
      <w:r/>
      <w:bookmarkStart w:id="63" w:name="_Toc164351613"/>
      <w:r/>
      <w:bookmarkStart w:id="64" w:name="_Toc151193761"/>
      <w:r/>
      <w:bookmarkStart w:id="65" w:name="_Toc226337215"/>
      <w:r/>
      <w:bookmarkStart w:id="66" w:name="_Toc226309763"/>
      <w:r/>
      <w:bookmarkStart w:id="67" w:name="_Toc142311021"/>
      <w:r/>
      <w:bookmarkStart w:id="68" w:name="_Toc151193689"/>
      <w:r/>
      <w:bookmarkStart w:id="69" w:name="_Toc226965792"/>
      <w:r/>
      <w:bookmarkStart w:id="70" w:name="_Toc151190146"/>
      <w:r/>
      <w:bookmarkStart w:id="71" w:name="_Toc150774619"/>
      <w:r/>
      <w:bookmarkStart w:id="72" w:name="_Toc164229360"/>
      <w:r/>
      <w:bookmarkStart w:id="73" w:name="_Toc150509270"/>
      <w:r/>
      <w:bookmarkStart w:id="74" w:name="_Toc151193833"/>
      <w:r/>
      <w:bookmarkStart w:id="75" w:name="_Toc164608633"/>
      <w:r/>
      <w:bookmarkStart w:id="76" w:name="_Toc127151720"/>
      <w:r/>
      <w:bookmarkStart w:id="77" w:name="_Toc127151519"/>
      <w:r/>
      <w:bookmarkStart w:id="78" w:name="_Toc151193617"/>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1122"/>
        <w:jc w:val="center"/>
        <w:rPr>
          <w:b/>
          <w:color w:val="000000"/>
          <w:sz w:val="28"/>
          <w:szCs w:val="28"/>
          <w:highlight w:val="none"/>
        </w:rPr>
      </w:pPr>
      <w:r>
        <w:rPr>
          <w:b/>
          <w:color w:val="000000"/>
          <w:sz w:val="28"/>
          <w:szCs w:val="28"/>
          <w:highlight w:val="none"/>
        </w:rPr>
      </w:r>
      <w:r/>
    </w:p>
    <w:p>
      <w:pPr>
        <w:pStyle w:val="1122"/>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sz w:val="24"/>
          <w:highlight w:val="none"/>
        </w:rPr>
        <w:t xml:space="preserve">■</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color w:val="000000"/>
          <w:sz w:val="24"/>
          <w:highlight w:val="none"/>
        </w:rPr>
      </w:r>
      <w:r/>
    </w:p>
    <w:tbl>
      <w:tblPr>
        <w:tblW w:w="100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2"/>
        <w:gridCol w:w="7380"/>
      </w:tblGrid>
      <w:tr>
        <w:trPr>
          <w:trHeight w:val="594"/>
          <w:tblHeader/>
        </w:trPr>
        <w:tc>
          <w:tcPr>
            <w:tcW w:w="988" w:type="dxa"/>
            <w:vAlign w:val="center"/>
            <w:textDirection w:val="lrTb"/>
            <w:noWrap w:val="false"/>
          </w:tcPr>
          <w:p>
            <w:pPr>
              <w:pStyle w:val="1122"/>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2" w:type="dxa"/>
            <w:vAlign w:val="center"/>
            <w:textDirection w:val="lrTb"/>
            <w:noWrap w:val="false"/>
          </w:tcPr>
          <w:p>
            <w:pPr>
              <w:pStyle w:val="1122"/>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380" w:type="dxa"/>
            <w:vAlign w:val="center"/>
            <w:textDirection w:val="lrTb"/>
            <w:noWrap w:val="false"/>
          </w:tcPr>
          <w:p>
            <w:pPr>
              <w:pStyle w:val="1122"/>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项目属性</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项目属性：</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服务</w:t>
            </w:r>
            <w:r>
              <w:rPr>
                <w:color w:val="000000"/>
                <w:sz w:val="24"/>
                <w:highlight w:val="none"/>
              </w:rPr>
            </w:r>
            <w:r/>
          </w:p>
          <w:p>
            <w:pPr>
              <w:pStyle w:val="1122"/>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货物</w:t>
            </w:r>
            <w:r>
              <w:rPr>
                <w:color w:val="000000"/>
                <w:sz w:val="24"/>
                <w:highlight w:val="none"/>
              </w:rPr>
            </w:r>
            <w:r/>
          </w:p>
          <w:p>
            <w:pPr>
              <w:pStyle w:val="1122"/>
              <w:jc w:val="left"/>
              <w:rPr>
                <w:color w:val="000000"/>
                <w:sz w:val="24"/>
                <w:highlight w:val="none"/>
                <w:u w:val="single"/>
              </w:rPr>
            </w:pPr>
            <w:r>
              <w:rPr>
                <w:rFonts w:hint="eastAsia"/>
                <w:color w:val="000000"/>
                <w:sz w:val="24"/>
                <w:highlight w:val="none"/>
                <w:lang w:eastAsia="zh-CN"/>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科研仪器设备</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是</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现场考察</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1122"/>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162"/>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磋商前答疑会</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不召开</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122"/>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583"/>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标的所属行业</w:t>
            </w:r>
            <w:r>
              <w:rPr>
                <w:color w:val="000000"/>
                <w:sz w:val="24"/>
                <w:highlight w:val="none"/>
              </w:rPr>
            </w:r>
            <w:r/>
          </w:p>
        </w:tc>
        <w:tc>
          <w:tcPr>
            <w:tcW w:w="7380" w:type="dxa"/>
            <w:vAlign w:val="center"/>
            <w:textDirection w:val="lrTb"/>
            <w:noWrap w:val="false"/>
          </w:tcPr>
          <w:p>
            <w:pPr>
              <w:pStyle w:val="1122"/>
              <w:jc w:val="left"/>
              <w:rPr>
                <w:rFonts w:hint="eastAsia"/>
                <w:color w:val="000000"/>
                <w:sz w:val="24"/>
                <w:highlight w:val="none"/>
              </w:rPr>
            </w:pPr>
            <w:r>
              <w:rPr>
                <w:rFonts w:ascii="Times New Roman" w:hAnsi="Times New Roman" w:eastAsia="宋体" w:cs="Times New Roman"/>
                <w:color w:val="000000"/>
                <w:sz w:val="24"/>
                <w:highlight w:val="none"/>
              </w:rPr>
              <w:t xml:space="preserve">本项目</w:t>
            </w:r>
            <w:r>
              <w:rPr>
                <w:rFonts w:hint="eastAsia" w:ascii="Times New Roman" w:hAnsi="Times New Roman" w:eastAsia="宋体" w:cs="Times New Roman"/>
                <w:color w:val="000000"/>
                <w:sz w:val="24"/>
                <w:highlight w:val="none"/>
                <w:lang w:val="en-US" w:eastAsia="zh-CN"/>
              </w:rPr>
              <w:t xml:space="preserve">为服务类项目，</w:t>
            </w:r>
            <w:r>
              <w:rPr>
                <w:rFonts w:ascii="Times New Roman" w:hAnsi="Times New Roman" w:eastAsia="宋体" w:cs="Times New Roman"/>
                <w:color w:val="000000"/>
                <w:sz w:val="24"/>
                <w:highlight w:val="none"/>
              </w:rPr>
              <w:t xml:space="preserve">采购标的对应的中小企业划分标准所属行业</w:t>
            </w:r>
            <w:r>
              <w:rPr>
                <w:rFonts w:hint="eastAsia" w:ascii="Times New Roman" w:hAnsi="Times New Roman" w:eastAsia="宋体" w:cs="Times New Roman"/>
                <w:color w:val="000000"/>
                <w:sz w:val="24"/>
                <w:highlight w:val="none"/>
                <w:lang w:val="en-US" w:eastAsia="zh-CN"/>
              </w:rPr>
              <w:t xml:space="preserve">为</w:t>
            </w:r>
            <w:r>
              <w:rPr>
                <w:rFonts w:hint="eastAsia" w:ascii="Times New Roman" w:hAnsi="Times New Roman" w:eastAsia="宋体" w:cs="Times New Roman"/>
                <w:color w:val="000000"/>
                <w:sz w:val="24"/>
                <w:highlight w:val="none"/>
                <w:u w:val="single"/>
                <w:lang w:val="en-US" w:eastAsia="zh-CN"/>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4"/>
                <w:highlight w:val="none"/>
              </w:rPr>
            </w:r>
            <w:r/>
          </w:p>
        </w:tc>
      </w:tr>
      <w:tr>
        <w:trPr>
          <w:trHeight w:val="89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报价</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报价的特殊规定：</w:t>
            </w:r>
            <w:r>
              <w:rPr>
                <w:color w:val="000000"/>
                <w:sz w:val="24"/>
                <w:highlight w:val="none"/>
              </w:rPr>
            </w:r>
            <w:r/>
          </w:p>
          <w:p>
            <w:pPr>
              <w:pStyle w:val="1122"/>
              <w:jc w:val="left"/>
              <w:rPr>
                <w:color w:val="000000"/>
                <w:sz w:val="24"/>
                <w:highlight w:val="none"/>
              </w:rPr>
            </w:pPr>
            <w:r>
              <w:rPr>
                <w:rFonts w:hint="eastAsia" w:ascii="MS Mincho" w:hAnsi="MS Mincho" w:cs="MS Mincho"/>
                <w:color w:val="000000"/>
                <w:sz w:val="24"/>
                <w:highlight w:val="none"/>
              </w:rPr>
              <w:t xml:space="preserve">□</w:t>
            </w:r>
            <w:r>
              <w:rPr>
                <w:color w:val="000000"/>
                <w:sz w:val="24"/>
                <w:highlight w:val="none"/>
              </w:rPr>
              <w:t xml:space="preserve">无</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有，具体情形：</w:t>
            </w:r>
            <w:r>
              <w:rPr>
                <w:rFonts w:hint="eastAsia"/>
                <w:color w:val="000000"/>
                <w:sz w:val="24"/>
                <w:highlight w:val="none"/>
                <w:u w:val="single"/>
              </w:rPr>
              <w:t xml:space="preserve">2次报价，响应文件中的报价作为首次报价，首次报价不可超最高限价（控制价），磋商小组应当要求所有实质性响应的供应商在规定时间内提交最后报价，最后报价作为评分依据。</w:t>
            </w:r>
            <w:r>
              <w:rPr>
                <w:color w:val="000000"/>
                <w:sz w:val="24"/>
                <w:highlight w:val="non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磋商保证金</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响应有效期</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分包</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不允许</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允许，具体要求：_______。</w:t>
            </w:r>
            <w:r>
              <w:rPr>
                <w:color w:val="000000"/>
                <w:sz w:val="24"/>
                <w:highlight w:val="none"/>
              </w:rPr>
            </w:r>
            <w:r/>
          </w:p>
          <w:p>
            <w:pPr>
              <w:pStyle w:val="1122"/>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122"/>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122"/>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询问</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询问送达形式：</w:t>
            </w:r>
            <w:r>
              <w:rPr>
                <w:rFonts w:hint="eastAsia"/>
                <w:color w:val="000000"/>
                <w:sz w:val="24"/>
                <w:highlight w:val="none"/>
                <w:u w:val="singl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联系方式</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122"/>
              <w:jc w:val="lef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常州盈泰招标有限公司</w:t>
            </w:r>
            <w:r>
              <w:rPr>
                <w:color w:val="000000"/>
                <w:sz w:val="24"/>
                <w:highlight w:val="none"/>
              </w:rPr>
              <w:t xml:space="preserve">；</w:t>
            </w:r>
            <w:r>
              <w:rPr>
                <w:color w:val="000000"/>
                <w:sz w:val="24"/>
                <w:highlight w:val="none"/>
              </w:rPr>
            </w:r>
            <w:r/>
          </w:p>
          <w:p>
            <w:pPr>
              <w:pStyle w:val="1122"/>
              <w:jc w:val="lef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0519-89853339</w:t>
            </w:r>
            <w:r>
              <w:rPr>
                <w:color w:val="000000"/>
                <w:sz w:val="24"/>
                <w:highlight w:val="none"/>
              </w:rPr>
              <w:t xml:space="preserve">；</w:t>
            </w:r>
            <w:r>
              <w:rPr>
                <w:color w:val="000000"/>
                <w:sz w:val="24"/>
                <w:highlight w:val="none"/>
              </w:rPr>
            </w:r>
            <w:r/>
          </w:p>
          <w:p>
            <w:pPr>
              <w:pStyle w:val="1122"/>
              <w:jc w:val="left"/>
              <w:rPr>
                <w:color w:val="000000"/>
                <w:sz w:val="24"/>
                <w:highlight w:val="none"/>
              </w:rPr>
            </w:pPr>
            <w:r>
              <w:rPr>
                <w:color w:val="000000"/>
                <w:sz w:val="24"/>
                <w:highlight w:val="none"/>
              </w:rPr>
              <w:t xml:space="preserve">通讯地址：</w:t>
            </w:r>
            <w:r>
              <w:rPr>
                <w:rFonts w:hint="eastAsia"/>
                <w:color w:val="000000"/>
                <w:sz w:val="24"/>
                <w:highlight w:val="none"/>
                <w:u w:val="single"/>
              </w:rPr>
              <w:t xml:space="preserve">常州市新北区太湖中路8号锦湖创新中心A座11楼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2" w:type="dxa"/>
            <w:vAlign w:val="center"/>
            <w:textDirection w:val="lrTb"/>
            <w:noWrap w:val="false"/>
          </w:tcPr>
          <w:p>
            <w:pPr>
              <w:pStyle w:val="1122"/>
              <w:jc w:val="center"/>
              <w:rPr>
                <w:color w:val="000000"/>
                <w:sz w:val="24"/>
                <w:highlight w:val="none"/>
              </w:rPr>
            </w:pPr>
            <w:r>
              <w:rPr>
                <w:color w:val="000000"/>
                <w:sz w:val="24"/>
                <w:highlight w:val="none"/>
              </w:rPr>
              <w:t xml:space="preserve">代理费</w:t>
            </w:r>
            <w:r>
              <w:rPr>
                <w:color w:val="000000"/>
                <w:sz w:val="24"/>
                <w:highlight w:val="none"/>
              </w:rPr>
            </w:r>
            <w:r/>
          </w:p>
        </w:tc>
        <w:tc>
          <w:tcPr>
            <w:tcW w:w="7380" w:type="dxa"/>
            <w:vAlign w:val="center"/>
            <w:textDirection w:val="lrTb"/>
            <w:noWrap w:val="false"/>
          </w:tcPr>
          <w:p>
            <w:pPr>
              <w:pStyle w:val="1122"/>
              <w:jc w:val="left"/>
              <w:rPr>
                <w:color w:val="000000"/>
                <w:sz w:val="24"/>
                <w:highlight w:val="none"/>
              </w:rPr>
            </w:pPr>
            <w:r>
              <w:rPr>
                <w:color w:val="000000"/>
                <w:sz w:val="24"/>
                <w:highlight w:val="none"/>
              </w:rPr>
              <w:t xml:space="preserve">收费对象：</w:t>
            </w:r>
            <w:r>
              <w:rPr>
                <w:color w:val="000000"/>
                <w:sz w:val="24"/>
                <w:highlight w:val="none"/>
              </w:rPr>
            </w:r>
            <w:r/>
          </w:p>
          <w:p>
            <w:pPr>
              <w:pStyle w:val="1122"/>
              <w:jc w:val="left"/>
              <w:rPr>
                <w:color w:val="000000"/>
                <w:sz w:val="24"/>
                <w:highlight w:val="none"/>
              </w:rPr>
            </w:pPr>
            <w:r>
              <w:rPr>
                <w:rFonts w:hint="eastAsia"/>
                <w:color w:val="000000"/>
                <w:highlight w:val="none"/>
              </w:rPr>
              <w:t xml:space="preserve">□</w:t>
            </w:r>
            <w:r>
              <w:rPr>
                <w:color w:val="000000"/>
                <w:sz w:val="24"/>
                <w:highlight w:val="none"/>
              </w:rPr>
              <w:t xml:space="preserve">采购人</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w:t>
            </w:r>
            <w:r>
              <w:rPr>
                <w:color w:val="000000"/>
                <w:sz w:val="24"/>
                <w:highlight w:val="none"/>
              </w:rPr>
              <w:t xml:space="preserve">成交供应商</w:t>
            </w:r>
            <w:r>
              <w:rPr>
                <w:color w:val="000000"/>
                <w:sz w:val="24"/>
                <w:highlight w:val="none"/>
              </w:rPr>
            </w:r>
            <w:r/>
          </w:p>
          <w:p>
            <w:pPr>
              <w:pStyle w:val="1307"/>
              <w:rPr>
                <w:color w:val="000000"/>
                <w:highlight w:val="none"/>
              </w:rPr>
            </w:pPr>
            <w:r>
              <w:rPr>
                <w:color w:val="000000"/>
                <w:highlight w:val="none"/>
              </w:rPr>
              <w:t xml:space="preserve">收费标准：</w:t>
            </w:r>
            <w:r>
              <w:rPr>
                <w:color w:val="000000"/>
                <w:highlight w:val="none"/>
              </w:rPr>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1122"/>
                    <w:ind w:firstLine="1080"/>
                    <w:spacing w:line="440" w:lineRule="exact"/>
                    <w:rPr>
                      <w:rFonts w:ascii="宋体" w:hAnsi="宋体" w:cs="宋体"/>
                      <w:bCs/>
                      <w:color w:val="000000"/>
                      <w:sz w:val="24"/>
                      <w:highlight w:val="none"/>
                    </w:rPr>
                  </w:pPr>
                  <w:r>
                    <w:rPr>
                      <w:rFonts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314960</wp:posOffset>
                            </wp:positionH>
                            <wp:positionV relativeFrom="paragraph">
                              <wp:posOffset>3810</wp:posOffset>
                            </wp:positionV>
                            <wp:extent cx="1534795" cy="166624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34795" cy="16662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24.8pt,0.3pt" to="145.6pt,131.5pt" filled="f" strokecolor="#000000"/>
                        </w:pict>
                      </mc:Fallback>
                    </mc:AlternateContent>
                  </w:r>
                  <w:r>
                    <w:rPr>
                      <w:rFonts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highlight w:val="none"/>
                    </w:rPr>
                    <w:t xml:space="preserve">服</w:t>
                  </w:r>
                  <w:r>
                    <w:rPr>
                      <w:rFonts w:ascii="宋体" w:hAnsi="宋体" w:cs="宋体"/>
                      <w:bCs/>
                      <w:color w:val="000000"/>
                      <w:sz w:val="24"/>
                      <w:highlight w:val="none"/>
                    </w:rPr>
                  </w:r>
                  <w:r/>
                </w:p>
                <w:p>
                  <w:pPr>
                    <w:pStyle w:val="1122"/>
                    <w:ind w:firstLine="24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费　　　   务</w:t>
                  </w:r>
                  <w:r>
                    <w:rPr>
                      <w:rFonts w:ascii="宋体" w:hAnsi="宋体" w:cs="宋体"/>
                      <w:bCs/>
                      <w:color w:val="000000"/>
                      <w:sz w:val="24"/>
                      <w:highlight w:val="none"/>
                    </w:rPr>
                  </w:r>
                  <w:r/>
                </w:p>
                <w:p>
                  <w:pPr>
                    <w:pStyle w:val="1122"/>
                    <w:ind w:firstLine="1440"/>
                    <w:spacing w:line="440" w:lineRule="exact"/>
                    <w:rPr>
                      <w:rFonts w:ascii="宋体" w:hAnsi="宋体" w:cs="宋体"/>
                      <w:bCs/>
                      <w:color w:val="000000"/>
                      <w:sz w:val="24"/>
                      <w:highlight w:val="none"/>
                    </w:rPr>
                  </w:pPr>
                  <w:r>
                    <w:rPr>
                      <w:rFonts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highlight w:val="none"/>
                    </w:rPr>
                    <w:t xml:space="preserve">　   类</w:t>
                  </w:r>
                  <w:r>
                    <w:rPr>
                      <w:rFonts w:ascii="宋体" w:hAnsi="宋体" w:cs="宋体"/>
                      <w:bCs/>
                      <w:color w:val="000000"/>
                      <w:sz w:val="24"/>
                      <w:highlight w:val="none"/>
                    </w:rPr>
                  </w:r>
                  <w:r/>
                </w:p>
                <w:p>
                  <w:pPr>
                    <w:pStyle w:val="1122"/>
                    <w:ind w:firstLine="120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率　       型</w:t>
                  </w:r>
                  <w:r>
                    <w:rPr>
                      <w:rFonts w:ascii="宋体" w:hAnsi="宋体" w:cs="宋体"/>
                      <w:bCs/>
                      <w:color w:val="000000"/>
                      <w:sz w:val="24"/>
                      <w:highlight w:val="none"/>
                    </w:rPr>
                  </w:r>
                  <w:r/>
                </w:p>
                <w:p>
                  <w:pPr>
                    <w:pStyle w:val="1122"/>
                    <w:ind w:firstLine="120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1122"/>
                    <w:spacing w:line="440" w:lineRule="exact"/>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预算</w:t>
                  </w:r>
                  <w:r>
                    <w:rPr>
                      <w:rFonts w:hint="eastAsia" w:ascii="宋体" w:hAnsi="宋体" w:cs="宋体"/>
                      <w:bCs/>
                      <w:color w:val="000000"/>
                      <w:sz w:val="24"/>
                      <w:highlight w:val="none"/>
                    </w:rPr>
                    <w:t xml:space="preserve">金额（万元）</w:t>
                  </w:r>
                  <w:r>
                    <w:rPr>
                      <w:rFonts w:ascii="宋体" w:hAnsi="宋体" w:cs="宋体"/>
                      <w:bCs/>
                      <w:color w:val="000000"/>
                      <w:sz w:val="24"/>
                      <w:highlight w:val="none"/>
                    </w:rPr>
                  </w:r>
                  <w:r/>
                </w:p>
              </w:tc>
              <w:tc>
                <w:tcPr>
                  <w:tcW w:w="1707" w:type="dxa"/>
                  <w:vAlign w:val="center"/>
                  <w:textDirection w:val="lrTb"/>
                  <w:noWrap w:val="false"/>
                </w:tcPr>
                <w:p>
                  <w:pPr>
                    <w:pStyle w:val="1122"/>
                    <w:jc w:val="center"/>
                    <w:spacing w:line="44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服务</w:t>
                  </w:r>
                  <w:r>
                    <w:rPr>
                      <w:rFonts w:hint="eastAsia" w:ascii="宋体" w:hAnsi="宋体" w:cs="宋体"/>
                      <w:b/>
                      <w:color w:val="000000"/>
                      <w:sz w:val="24"/>
                      <w:highlight w:val="none"/>
                    </w:rPr>
                    <w:t xml:space="preserve">类</w:t>
                  </w:r>
                  <w:r>
                    <w:rPr>
                      <w:rFonts w:ascii="宋体" w:hAnsi="宋体" w:cs="宋体"/>
                      <w:b/>
                      <w:color w:val="000000"/>
                      <w:sz w:val="24"/>
                      <w:highlight w:val="none"/>
                    </w:rPr>
                  </w:r>
                  <w:r/>
                </w:p>
              </w:tc>
            </w:tr>
            <w:tr>
              <w:trPr/>
              <w:tc>
                <w:tcPr>
                  <w:tcW w:w="3027" w:type="dxa"/>
                  <w:vAlign w:val="top"/>
                  <w:textDirection w:val="lrTb"/>
                  <w:noWrap w:val="false"/>
                </w:tcPr>
                <w:p>
                  <w:pPr>
                    <w:pStyle w:val="1122"/>
                    <w:jc w:val="center"/>
                    <w:spacing w:line="280" w:lineRule="exact"/>
                    <w:rPr>
                      <w:rFonts w:ascii="宋体" w:hAnsi="宋体" w:cs="宋体"/>
                      <w:color w:val="000000"/>
                      <w:sz w:val="24"/>
                      <w:highlight w:val="none"/>
                    </w:rPr>
                  </w:pPr>
                  <w:r>
                    <w:rPr>
                      <w:rFonts w:hint="eastAsia" w:ascii="宋体" w:hAnsi="宋体" w:cs="宋体"/>
                      <w:color w:val="000000"/>
                      <w:sz w:val="24"/>
                      <w:highlight w:val="none"/>
                    </w:rPr>
                    <w:t xml:space="preserve">100（含，下同）以下</w:t>
                  </w:r>
                  <w:r>
                    <w:rPr>
                      <w:rFonts w:ascii="宋体" w:hAnsi="宋体" w:cs="宋体"/>
                      <w:color w:val="000000"/>
                      <w:sz w:val="24"/>
                      <w:highlight w:val="none"/>
                    </w:rPr>
                  </w:r>
                  <w:r/>
                </w:p>
              </w:tc>
              <w:tc>
                <w:tcPr>
                  <w:tcW w:w="1707" w:type="dxa"/>
                  <w:vAlign w:val="center"/>
                  <w:textDirection w:val="lrTb"/>
                  <w:noWrap w:val="false"/>
                </w:tcPr>
                <w:p>
                  <w:pPr>
                    <w:pStyle w:val="1122"/>
                    <w:jc w:val="center"/>
                    <w:spacing w:line="280" w:lineRule="exact"/>
                    <w:rPr>
                      <w:rFonts w:ascii="宋体" w:hAnsi="宋体" w:cs="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1122"/>
                    <w:jc w:val="center"/>
                    <w:spacing w:line="280" w:lineRule="exact"/>
                    <w:rPr>
                      <w:rFonts w:ascii="宋体" w:hAnsi="宋体" w:cs="宋体"/>
                      <w:color w:val="000000"/>
                      <w:sz w:val="24"/>
                      <w:highlight w:val="none"/>
                    </w:rPr>
                  </w:pPr>
                  <w:r>
                    <w:rPr>
                      <w:rFonts w:hint="eastAsia" w:ascii="宋体" w:hAnsi="宋体" w:cs="宋体"/>
                      <w:color w:val="000000"/>
                      <w:sz w:val="24"/>
                      <w:highlight w:val="none"/>
                    </w:rPr>
                    <w:t xml:space="preserve">100-500</w:t>
                  </w:r>
                  <w:r>
                    <w:rPr>
                      <w:rFonts w:ascii="宋体" w:hAnsi="宋体" w:cs="宋体"/>
                      <w:color w:val="000000"/>
                      <w:sz w:val="24"/>
                      <w:highlight w:val="none"/>
                    </w:rPr>
                  </w:r>
                  <w:r/>
                </w:p>
              </w:tc>
              <w:tc>
                <w:tcPr>
                  <w:tcW w:w="1707" w:type="dxa"/>
                  <w:vAlign w:val="center"/>
                  <w:textDirection w:val="lrTb"/>
                  <w:noWrap w:val="false"/>
                </w:tcPr>
                <w:p>
                  <w:pPr>
                    <w:pStyle w:val="1122"/>
                    <w:jc w:val="center"/>
                    <w:spacing w:line="280" w:lineRule="exact"/>
                    <w:rPr>
                      <w:rFonts w:ascii="宋体" w:hAnsi="宋体" w:cs="宋体"/>
                      <w:color w:val="000000"/>
                      <w:sz w:val="24"/>
                      <w:highlight w:val="none"/>
                    </w:rPr>
                  </w:pPr>
                  <w:r>
                    <w:rPr>
                      <w:rFonts w:hint="eastAsia" w:ascii="宋体" w:hAnsi="宋体"/>
                      <w:color w:val="000000"/>
                      <w:sz w:val="24"/>
                      <w:highlight w:val="none"/>
                      <w:lang w:val="en-US" w:eastAsia="zh-CN"/>
                    </w:rPr>
                    <w:t xml:space="preserve">0.8</w:t>
                  </w:r>
                  <w:r>
                    <w:rPr>
                      <w:rFonts w:ascii="宋体" w:hAnsi="宋体"/>
                      <w:color w:val="000000"/>
                      <w:sz w:val="24"/>
                      <w:highlight w:val="none"/>
                    </w:rPr>
                    <w:t xml:space="preserve">%</w:t>
                  </w:r>
                  <w:r>
                    <w:rPr>
                      <w:rFonts w:ascii="宋体" w:hAnsi="宋体" w:cs="宋体"/>
                      <w:color w:val="000000"/>
                      <w:sz w:val="24"/>
                      <w:highlight w:val="none"/>
                    </w:rPr>
                  </w:r>
                  <w:r/>
                </w:p>
              </w:tc>
            </w:tr>
            <w:tr>
              <w:trPr>
                <w:trHeight w:val="384"/>
              </w:trPr>
              <w:tc>
                <w:tcPr>
                  <w:tcW w:w="3027" w:type="dxa"/>
                  <w:vAlign w:val="top"/>
                  <w:textDirection w:val="lrTb"/>
                  <w:noWrap w:val="false"/>
                </w:tcPr>
                <w:p>
                  <w:pPr>
                    <w:pStyle w:val="1122"/>
                    <w:jc w:val="cente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707" w:type="dxa"/>
                  <w:vAlign w:val="center"/>
                  <w:textDirection w:val="lrTb"/>
                  <w:noWrap w:val="false"/>
                </w:tcPr>
                <w:p>
                  <w:pPr>
                    <w:pStyle w:val="1122"/>
                    <w:jc w:val="cente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bl>
          <w:p>
            <w:pPr>
              <w:pStyle w:val="1122"/>
              <w:jc w:val="left"/>
              <w:rPr>
                <w:color w:val="000000"/>
                <w:sz w:val="24"/>
                <w:highlight w:val="none"/>
              </w:rPr>
            </w:pPr>
            <w:r>
              <w:rPr>
                <w:color w:val="000000"/>
                <w:sz w:val="24"/>
                <w:highlight w:val="none"/>
              </w:rPr>
            </w:r>
            <w:r/>
          </w:p>
          <w:p>
            <w:pPr>
              <w:pStyle w:val="1122"/>
              <w:jc w:val="left"/>
              <w:rPr>
                <w:rFonts w:hint="eastAsia"/>
                <w:b/>
                <w:bCs/>
                <w:color w:val="000000"/>
                <w:sz w:val="24"/>
                <w:highlight w:val="none"/>
              </w:rPr>
            </w:pPr>
            <w:r>
              <w:rPr>
                <w:rFonts w:hint="eastAsia"/>
                <w:color w:val="000000"/>
                <w:sz w:val="24"/>
                <w:highlight w:val="none"/>
              </w:rPr>
              <w:t xml:space="preserve">2.代理服务收费</w:t>
            </w:r>
            <w:r>
              <w:rPr>
                <w:rFonts w:hint="eastAsia"/>
                <w:color w:val="000000"/>
                <w:sz w:val="24"/>
                <w:highlight w:val="none"/>
                <w:lang w:val="en-US" w:eastAsia="zh-CN"/>
              </w:rPr>
              <w:t xml:space="preserve">以预算金额</w:t>
            </w:r>
            <w:r>
              <w:rPr>
                <w:rFonts w:hint="eastAsia"/>
                <w:color w:val="000000"/>
                <w:sz w:val="24"/>
                <w:highlight w:val="none"/>
              </w:rPr>
              <w:t xml:space="preserve">按差额定率累进法计算。</w:t>
            </w:r>
            <w:r>
              <w:rPr>
                <w:rFonts w:hint="eastAsia"/>
                <w:b/>
                <w:bCs/>
                <w:color w:val="000000"/>
                <w:sz w:val="24"/>
                <w:highlight w:val="none"/>
              </w:rPr>
            </w:r>
            <w:r/>
          </w:p>
          <w:p>
            <w:pPr>
              <w:pStyle w:val="1122"/>
              <w:jc w:val="left"/>
              <w:rPr>
                <w:color w:val="000000"/>
                <w:sz w:val="24"/>
                <w:highlight w:val="none"/>
              </w:rPr>
            </w:pPr>
            <w:r>
              <w:rPr>
                <w:rFonts w:hint="eastAsia"/>
                <w:color w:val="000000"/>
                <w:sz w:val="24"/>
                <w:highlight w:val="none"/>
              </w:rPr>
              <w:t xml:space="preserve">3.代理服务收费按上述计算方法不足人民币3000元的，按人民币3000元收取。</w:t>
            </w:r>
            <w:r>
              <w:rPr>
                <w:color w:val="000000"/>
                <w:sz w:val="24"/>
                <w:highlight w:val="none"/>
              </w:rPr>
            </w:r>
            <w:r/>
          </w:p>
          <w:p>
            <w:pPr>
              <w:pStyle w:val="1122"/>
              <w:jc w:val="left"/>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缴纳时间</w:t>
            </w:r>
            <w:r>
              <w:rPr>
                <w:rFonts w:hint="eastAsia"/>
                <w:color w:val="000000"/>
                <w:sz w:val="24"/>
                <w:highlight w:val="none"/>
                <w:lang w:eastAsia="zh-CN"/>
              </w:rPr>
              <w:t xml:space="preserve">：</w:t>
            </w:r>
            <w:r>
              <w:rPr>
                <w:rFonts w:hint="eastAsia"/>
                <w:color w:val="000000"/>
                <w:sz w:val="24"/>
                <w:highlight w:val="none"/>
                <w:u w:val="single"/>
              </w:rPr>
              <w:t xml:space="preserve">成交供应商应在领取成交通知书前将代理服务费付至采购代理机构指定的收款账户。成交供应商如果未按规定交纳代理服务费，将保留诉讼权利。</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收款单位：常州盈泰招标有限公司</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开户银行：中国建设银行常州市延陵路支行</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银行账号：</w:t>
            </w:r>
            <w:r>
              <w:rPr>
                <w:color w:val="000000"/>
                <w:sz w:val="24"/>
                <w:highlight w:val="none"/>
              </w:rPr>
              <w:t xml:space="preserve">32050162853600001068</w:t>
            </w:r>
            <w:r>
              <w:rPr>
                <w:color w:val="000000"/>
                <w:sz w:val="24"/>
                <w:highlight w:val="none"/>
              </w:rPr>
            </w:r>
            <w:r/>
          </w:p>
        </w:tc>
      </w:tr>
    </w:tbl>
    <w:p>
      <w:pPr>
        <w:pStyle w:val="1122"/>
        <w:jc w:val="both"/>
        <w:spacing w:line="360" w:lineRule="auto"/>
        <w:tabs>
          <w:tab w:val="left" w:pos="5580" w:leader="none"/>
        </w:tabs>
        <w:rPr>
          <w:color w:val="000000"/>
          <w:sz w:val="24"/>
          <w:highlight w:val="none"/>
        </w:rPr>
        <w:sectPr>
          <w:footerReference w:type="default" r:id="rId19"/>
          <w:footerReference w:type="first" r:id="rId20"/>
          <w:footnotePr/>
          <w:endnotePr/>
          <w:type w:val="nextPage"/>
          <w:pgSz w:w="11907" w:h="16840" w:orient="portrait"/>
          <w:pgMar w:top="1418" w:right="1134" w:bottom="1418" w:left="1701" w:header="794" w:footer="851" w:gutter="0"/>
          <w:pgNumType w:start="1"/>
          <w:cols w:num="1" w:sep="0" w:space="1701" w:equalWidth="1"/>
          <w:docGrid w:linePitch="360"/>
        </w:sectPr>
      </w:pPr>
      <w:r>
        <w:rPr>
          <w:color w:val="000000"/>
          <w:sz w:val="24"/>
          <w:highlight w:val="none"/>
        </w:rPr>
      </w:r>
      <w:r/>
    </w:p>
    <w:p>
      <w:pPr>
        <w:pStyle w:val="1122"/>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112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9" w:name="_Toc520356143"/>
      <w:r/>
      <w:bookmarkStart w:id="80" w:name="_Toc127151518"/>
      <w:r>
        <w:rPr>
          <w:rFonts w:ascii="Times New Roman" w:hAnsi="Times New Roman" w:eastAsia="宋体"/>
          <w:color w:val="000000"/>
          <w:sz w:val="28"/>
          <w:highlight w:val="none"/>
        </w:rPr>
        <w:tab/>
      </w:r>
      <w:bookmarkStart w:id="81" w:name="_Toc142311020"/>
      <w:r/>
      <w:bookmarkStart w:id="82" w:name="_Toc226309762"/>
      <w:r/>
      <w:bookmarkStart w:id="83" w:name="_Toc226965791"/>
      <w:r/>
      <w:bookmarkStart w:id="84" w:name="_Toc305158786"/>
      <w:r/>
      <w:bookmarkStart w:id="85" w:name="_Toc151193688"/>
      <w:r/>
      <w:bookmarkStart w:id="86" w:name="_Toc150774723"/>
      <w:r/>
      <w:bookmarkStart w:id="87" w:name="_Toc226965708"/>
      <w:r/>
      <w:bookmarkStart w:id="88" w:name="_Toc226337214"/>
      <w:r/>
      <w:bookmarkStart w:id="89" w:name="_Toc151193760"/>
      <w:r/>
      <w:bookmarkStart w:id="90" w:name="_Toc265228356"/>
      <w:r/>
      <w:bookmarkStart w:id="91" w:name="_Toc264969208"/>
      <w:r/>
      <w:bookmarkStart w:id="92" w:name="_Toc150509269"/>
      <w:r/>
      <w:bookmarkStart w:id="93" w:name="_Toc151193616"/>
      <w:r/>
      <w:bookmarkStart w:id="94" w:name="_Toc151193832"/>
      <w:r/>
      <w:bookmarkStart w:id="95" w:name="_Toc195842883"/>
      <w:r/>
      <w:bookmarkStart w:id="96" w:name="_Toc151193906"/>
      <w:r/>
      <w:bookmarkStart w:id="97" w:name="_Toc150774618"/>
      <w:r/>
      <w:bookmarkStart w:id="98" w:name="_Toc151190145"/>
      <w:r/>
      <w:bookmarkStart w:id="99" w:name="_Toc150480756"/>
      <w:r/>
      <w:bookmarkStart w:id="100" w:name="_Toc305158860"/>
      <w:r>
        <w:rPr>
          <w:rFonts w:ascii="Times New Roman" w:hAnsi="Times New Roman" w:eastAsia="宋体"/>
          <w:color w:val="000000"/>
          <w:sz w:val="28"/>
          <w:highlight w:val="none"/>
        </w:rPr>
        <w:t xml:space="preserve">一   说  明</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s>
        <w:rPr>
          <w:color w:val="000000"/>
          <w:sz w:val="24"/>
          <w:highlight w:val="none"/>
        </w:rPr>
        <w:outlineLvl w:val="1"/>
      </w:pPr>
      <w:r/>
      <w:bookmarkStart w:id="101" w:name="_Toc264969209"/>
      <w:r/>
      <w:bookmarkStart w:id="102" w:name="_Toc305158787"/>
      <w:r/>
      <w:bookmarkStart w:id="103" w:name="_Toc265228357"/>
      <w:r/>
      <w:bookmarkStart w:id="104" w:name="_Toc305158861"/>
      <w:r>
        <w:rPr>
          <w:color w:val="000000"/>
          <w:sz w:val="24"/>
          <w:highlight w:val="none"/>
        </w:rPr>
        <w:t xml:space="preserve">采购人、采购代理机构、供应商</w:t>
      </w:r>
      <w:bookmarkEnd w:id="101"/>
      <w:r/>
      <w:bookmarkEnd w:id="102"/>
      <w:r/>
      <w:bookmarkEnd w:id="103"/>
      <w:r/>
      <w:bookmarkEnd w:id="104"/>
      <w:r>
        <w:rPr>
          <w:color w:val="000000"/>
          <w:sz w:val="24"/>
          <w:highlight w:val="none"/>
        </w:rPr>
        <w:t xml:space="preserve">、联合体</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122"/>
        <w:numPr>
          <w:ilvl w:val="0"/>
          <w:numId w:val="8"/>
        </w:numPr>
        <w:ind w:left="357" w:hanging="357"/>
        <w:spacing w:line="360" w:lineRule="auto"/>
        <w:tabs>
          <w:tab w:val="left" w:pos="360" w:leader="none"/>
        </w:tabs>
        <w:rPr>
          <w:color w:val="000000"/>
          <w:sz w:val="24"/>
          <w:highlight w:val="none"/>
        </w:rPr>
        <w:outlineLvl w:val="1"/>
      </w:pPr>
      <w:r/>
      <w:bookmarkStart w:id="105" w:name="_Toc226965793"/>
      <w:r/>
      <w:bookmarkStart w:id="106" w:name="_Toc150774725"/>
      <w:r/>
      <w:bookmarkStart w:id="107" w:name="_Toc127161434"/>
      <w:r/>
      <w:bookmarkStart w:id="108" w:name="_Toc150480758"/>
      <w:r/>
      <w:bookmarkStart w:id="109" w:name="_Toc150509271"/>
      <w:r/>
      <w:bookmarkStart w:id="110" w:name="_Toc226965710"/>
      <w:r/>
      <w:bookmarkStart w:id="111" w:name="_Toc226309764"/>
      <w:r/>
      <w:bookmarkStart w:id="112" w:name="_Toc305158788"/>
      <w:r/>
      <w:bookmarkStart w:id="113" w:name="_Toc305158862"/>
      <w:r/>
      <w:bookmarkStart w:id="114" w:name="_Toc164608789"/>
      <w:r/>
      <w:bookmarkStart w:id="115" w:name="_Toc151193618"/>
      <w:r/>
      <w:bookmarkStart w:id="116" w:name="_Toc127151721"/>
      <w:r/>
      <w:bookmarkStart w:id="117" w:name="_Toc151193762"/>
      <w:r/>
      <w:bookmarkStart w:id="118" w:name="_Toc150774620"/>
      <w:r/>
      <w:bookmarkStart w:id="119" w:name="_Toc265228358"/>
      <w:r/>
      <w:bookmarkStart w:id="120" w:name="_Toc127151520"/>
      <w:r/>
      <w:bookmarkStart w:id="121" w:name="_Toc264969210"/>
      <w:r/>
      <w:bookmarkStart w:id="122" w:name="_Toc195842885"/>
      <w:r/>
      <w:bookmarkStart w:id="123" w:name="_Toc164351614"/>
      <w:r/>
      <w:bookmarkStart w:id="124" w:name="_Toc151190147"/>
      <w:r/>
      <w:bookmarkStart w:id="125" w:name="_Toc164229215"/>
      <w:r/>
      <w:bookmarkStart w:id="126" w:name="_Toc164608634"/>
      <w:r/>
      <w:bookmarkStart w:id="127" w:name="_Toc142311022"/>
      <w:r/>
      <w:bookmarkStart w:id="128" w:name="_Toc151193908"/>
      <w:r/>
      <w:bookmarkStart w:id="129" w:name="_Toc151193690"/>
      <w:r/>
      <w:bookmarkStart w:id="130" w:name="_Toc149720813"/>
      <w:r/>
      <w:bookmarkStart w:id="131" w:name="_Toc151193834"/>
      <w:r/>
      <w:bookmarkStart w:id="132" w:name="_Toc226337216"/>
      <w:r/>
      <w:bookmarkStart w:id="133" w:name="_Toc164229361"/>
      <w:r>
        <w:rPr>
          <w:color w:val="000000"/>
          <w:sz w:val="24"/>
          <w:highlight w:val="none"/>
        </w:rPr>
        <w:t xml:space="preserve">资金来源</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color w:val="000000"/>
          <w:sz w:val="24"/>
          <w:highlight w:val="none"/>
        </w:rPr>
        <w:t xml:space="preserve">、项目属性、科研仪器设备采购</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34" w:name="_Toc305158790"/>
      <w:r/>
      <w:bookmarkStart w:id="135" w:name="_Toc226337218"/>
      <w:r/>
      <w:bookmarkStart w:id="136" w:name="_Toc150509273"/>
      <w:r/>
      <w:bookmarkStart w:id="137" w:name="_Toc226965712"/>
      <w:r/>
      <w:bookmarkStart w:id="138" w:name="_Toc226309766"/>
      <w:r/>
      <w:bookmarkStart w:id="139" w:name="_Toc150774622"/>
      <w:r/>
      <w:bookmarkStart w:id="140" w:name="_Toc265228360"/>
      <w:r/>
      <w:bookmarkStart w:id="141" w:name="_Toc520356146"/>
      <w:r/>
      <w:bookmarkStart w:id="142" w:name="_Toc127151522"/>
      <w:r/>
      <w:bookmarkStart w:id="143" w:name="_Toc151193910"/>
      <w:r/>
      <w:bookmarkStart w:id="144" w:name="_Toc142311024"/>
      <w:r/>
      <w:bookmarkStart w:id="145" w:name="_Toc151193764"/>
      <w:r/>
      <w:bookmarkStart w:id="146" w:name="_Toc151193836"/>
      <w:r/>
      <w:bookmarkStart w:id="147" w:name="_Toc151193692"/>
      <w:r/>
      <w:bookmarkStart w:id="148" w:name="_Toc151193620"/>
      <w:r/>
      <w:bookmarkStart w:id="149" w:name="_Toc264969212"/>
      <w:r/>
      <w:bookmarkStart w:id="150" w:name="_Toc151190149"/>
      <w:r/>
      <w:bookmarkStart w:id="151" w:name="_Toc150480760"/>
      <w:r/>
      <w:bookmarkStart w:id="152" w:name="_Toc226965795"/>
      <w:r/>
      <w:bookmarkStart w:id="153" w:name="_Toc150774727"/>
      <w:r/>
      <w:bookmarkStart w:id="154" w:name="_Toc305158864"/>
      <w:r/>
      <w:bookmarkStart w:id="155" w:name="_Toc195842887"/>
      <w:r>
        <w:rPr>
          <w:color w:val="000000"/>
          <w:sz w:val="28"/>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1122"/>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122"/>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122"/>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122"/>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122"/>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1122"/>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122"/>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122"/>
        <w:numPr>
          <w:ilvl w:val="2"/>
          <w:numId w:val="8"/>
        </w:numPr>
        <w:spacing w:line="360" w:lineRule="auto"/>
        <w:tabs>
          <w:tab w:val="left" w:pos="1980" w:leader="none"/>
        </w:tabs>
        <w:rPr>
          <w:rFonts w:hint="eastAsia"/>
          <w:color w:val="000000"/>
          <w:sz w:val="24"/>
          <w:highlight w:val="none"/>
        </w:rPr>
      </w:pPr>
      <w:r>
        <w:rPr>
          <w:rFonts w:hint="eastAsia"/>
          <w:color w:val="000000"/>
          <w:sz w:val="24"/>
          <w:highlight w:val="none"/>
        </w:rPr>
        <w:t xml:space="preserve">采购人要将</w:t>
      </w:r>
      <w:r>
        <w:rPr>
          <w:rFonts w:hint="eastAsia" w:ascii="宋体" w:hAnsi="宋体" w:cs="宋体"/>
          <w:color w:val="000000"/>
          <w:sz w:val="24"/>
          <w:highlight w:val="none"/>
        </w:rPr>
        <w:t xml:space="preserve">创新</w:t>
      </w:r>
      <w:r>
        <w:rPr>
          <w:rFonts w:hint="eastAsia"/>
          <w:color w:val="000000"/>
          <w:sz w:val="24"/>
          <w:highlight w:val="none"/>
        </w:rPr>
        <w:t xml:space="preserve">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122"/>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4.7   绿色采购政策</w:t>
      </w:r>
      <w:r>
        <w:rPr>
          <w:rFonts w:hint="eastAsia" w:ascii="宋体" w:hAnsi="宋体" w:cs="宋体"/>
          <w:color w:val="000000"/>
          <w:sz w:val="24"/>
          <w:highlight w:val="none"/>
        </w:rPr>
      </w:r>
      <w:r/>
    </w:p>
    <w:p>
      <w:pPr>
        <w:pStyle w:val="1122"/>
        <w:ind w:left="9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4.7.1  绿色数据中心政策 </w:t>
      </w:r>
      <w:r>
        <w:rPr>
          <w:rFonts w:hint="eastAsia" w:ascii="宋体" w:hAnsi="宋体" w:cs="宋体"/>
          <w:color w:val="000000"/>
          <w:sz w:val="24"/>
          <w:highlight w:val="none"/>
        </w:rPr>
      </w:r>
      <w:r/>
    </w:p>
    <w:p>
      <w:pPr>
        <w:pStyle w:val="1122"/>
        <w:ind w:left="900"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1122"/>
        <w:ind w:left="9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4.7.2 推广应用绿色建材</w:t>
      </w:r>
      <w:r>
        <w:rPr>
          <w:rFonts w:hint="eastAsia" w:ascii="宋体" w:hAnsi="宋体" w:cs="宋体"/>
          <w:color w:val="000000"/>
          <w:sz w:val="24"/>
          <w:highlight w:val="none"/>
        </w:rPr>
      </w:r>
      <w:r/>
    </w:p>
    <w:p>
      <w:pPr>
        <w:pStyle w:val="1122"/>
        <w:ind w:left="900"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1122"/>
        <w:ind w:left="9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4.7.3 优先使用低挥发性有机化合物产品</w:t>
      </w:r>
      <w:r>
        <w:rPr>
          <w:rFonts w:hint="eastAsia" w:ascii="宋体" w:hAnsi="宋体" w:cs="宋体"/>
          <w:color w:val="000000"/>
          <w:sz w:val="24"/>
          <w:highlight w:val="none"/>
        </w:rPr>
      </w:r>
      <w:r/>
    </w:p>
    <w:p>
      <w:pPr>
        <w:pStyle w:val="1122"/>
        <w:ind w:left="900" w:firstLine="72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1122"/>
        <w:ind w:firstLine="120"/>
        <w:spacing w:line="480" w:lineRule="exact"/>
        <w:rPr>
          <w:rFonts w:hint="eastAsia"/>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.8    采购本国产品的支持政策</w:t>
      </w:r>
      <w:r>
        <w:rPr>
          <w:rFonts w:hint="eastAsia"/>
          <w:color w:val="000000"/>
          <w:sz w:val="24"/>
          <w:highlight w:val="none"/>
        </w:rPr>
      </w:r>
      <w:r/>
    </w:p>
    <w:p>
      <w:pPr>
        <w:pStyle w:val="1122"/>
        <w:ind w:left="1078" w:hanging="120"/>
        <w:spacing w:line="480" w:lineRule="exact"/>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122"/>
        <w:ind w:left="900" w:firstLine="72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1122"/>
        <w:ind w:left="1080"/>
        <w:spacing w:line="360" w:lineRule="auto"/>
        <w:tabs>
          <w:tab w:val="left" w:pos="1080" w:leader="none"/>
        </w:tabs>
        <w:rPr>
          <w:color w:val="000000"/>
          <w:sz w:val="28"/>
          <w:highlight w:val="none"/>
        </w:rPr>
      </w:pPr>
      <w:r/>
      <w:bookmarkStart w:id="156" w:name="_1.8_计量单位"/>
      <w:r/>
      <w:bookmarkEnd w:id="156"/>
      <w:r>
        <w:rPr>
          <w:color w:val="000000"/>
          <w:sz w:val="28"/>
          <w:highlight w:val="none"/>
        </w:rPr>
      </w:r>
      <w:r/>
    </w:p>
    <w:p>
      <w:pPr>
        <w:pStyle w:val="112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57" w:name="_Toc305158865"/>
      <w:r/>
      <w:bookmarkStart w:id="158" w:name="_Toc150509274"/>
      <w:r/>
      <w:bookmarkStart w:id="159" w:name="_Toc151190150"/>
      <w:r/>
      <w:bookmarkStart w:id="160" w:name="_Toc127151523"/>
      <w:r/>
      <w:bookmarkStart w:id="161" w:name="_Toc164229364"/>
      <w:r/>
      <w:bookmarkStart w:id="162" w:name="_Toc164229218"/>
      <w:r/>
      <w:bookmarkStart w:id="163" w:name="_Toc127151724"/>
      <w:r/>
      <w:bookmarkStart w:id="164" w:name="_Toc265228361"/>
      <w:r/>
      <w:bookmarkStart w:id="165" w:name="_Toc151193693"/>
      <w:r/>
      <w:bookmarkStart w:id="166" w:name="_Toc151193621"/>
      <w:r/>
      <w:bookmarkStart w:id="167" w:name="_Toc226309767"/>
      <w:r/>
      <w:bookmarkStart w:id="168" w:name="_Toc150774728"/>
      <w:r/>
      <w:bookmarkStart w:id="169" w:name="_Toc195842888"/>
      <w:r/>
      <w:bookmarkStart w:id="170" w:name="_Toc164608792"/>
      <w:r/>
      <w:bookmarkStart w:id="171" w:name="_Toc164608637"/>
      <w:r/>
      <w:bookmarkStart w:id="172" w:name="_Toc151193911"/>
      <w:r/>
      <w:bookmarkStart w:id="173" w:name="_Toc142311025"/>
      <w:r/>
      <w:bookmarkStart w:id="174" w:name="_Toc226965796"/>
      <w:r/>
      <w:bookmarkStart w:id="175" w:name="_Toc150480761"/>
      <w:r/>
      <w:bookmarkStart w:id="176" w:name="_Toc151193765"/>
      <w:r/>
      <w:bookmarkStart w:id="177" w:name="_Toc264969213"/>
      <w:r/>
      <w:bookmarkStart w:id="178" w:name="_Toc151193837"/>
      <w:r/>
      <w:bookmarkStart w:id="179" w:name="_Toc226337219"/>
      <w:r/>
      <w:bookmarkStart w:id="180" w:name="_Toc305158791"/>
      <w:r/>
      <w:bookmarkStart w:id="181" w:name="_Toc127161437"/>
      <w:r/>
      <w:bookmarkStart w:id="182" w:name="_Toc164351617"/>
      <w:r/>
      <w:bookmarkStart w:id="183" w:name="_Toc150774623"/>
      <w:r/>
      <w:bookmarkStart w:id="184" w:name="_Toc149720816"/>
      <w:r/>
      <w:bookmarkStart w:id="185" w:name="_Toc520356147"/>
      <w:r/>
      <w:bookmarkStart w:id="186" w:name="_Toc226965713"/>
      <w:r>
        <w:rPr>
          <w:color w:val="000000"/>
          <w:sz w:val="24"/>
          <w:highlight w:val="none"/>
        </w:rPr>
        <w:t xml:space="preserve">竞争性磋商文件构</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color w:val="000000"/>
          <w:sz w:val="24"/>
          <w:highlight w:val="none"/>
        </w:rPr>
        <w:t xml:space="preserve">成</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1122"/>
        <w:ind w:left="1080"/>
        <w:spacing w:line="360" w:lineRule="auto"/>
        <w:tabs>
          <w:tab w:val="left" w:pos="1080" w:leader="none"/>
          <w:tab w:val="left" w:pos="1561" w:leader="none"/>
        </w:tabs>
        <w:rPr>
          <w:color w:val="000000"/>
          <w:sz w:val="28"/>
          <w:highlight w:val="none"/>
        </w:rPr>
      </w:pPr>
      <w:r/>
      <w:bookmarkStart w:id="187" w:name="_Toc150509277"/>
      <w:r/>
      <w:bookmarkStart w:id="188" w:name="_Toc520356150"/>
      <w:r/>
      <w:bookmarkStart w:id="189" w:name="_Toc150774731"/>
      <w:r/>
      <w:bookmarkStart w:id="190" w:name="_Toc151190153"/>
      <w:r/>
      <w:bookmarkStart w:id="191" w:name="_Toc305158794"/>
      <w:r/>
      <w:bookmarkStart w:id="192" w:name="_Toc151193914"/>
      <w:r/>
      <w:bookmarkStart w:id="193" w:name="_Toc151193840"/>
      <w:r/>
      <w:bookmarkStart w:id="194" w:name="_Toc516367020"/>
      <w:r/>
      <w:bookmarkStart w:id="195" w:name="_Toc195842891"/>
      <w:r/>
      <w:bookmarkStart w:id="196" w:name="_Toc226965799"/>
      <w:r/>
      <w:bookmarkStart w:id="197" w:name="_Toc264969216"/>
      <w:r/>
      <w:bookmarkStart w:id="198" w:name="_Toc226965716"/>
      <w:r/>
      <w:bookmarkStart w:id="199" w:name="_Toc226337222"/>
      <w:r/>
      <w:bookmarkStart w:id="200" w:name="_Toc151193768"/>
      <w:r/>
      <w:bookmarkStart w:id="201" w:name="_Toc142311028"/>
      <w:r/>
      <w:bookmarkStart w:id="202" w:name="_Toc151193696"/>
      <w:r/>
      <w:bookmarkStart w:id="203" w:name="_Toc150774626"/>
      <w:r/>
      <w:bookmarkStart w:id="204" w:name="_Toc127151526"/>
      <w:r/>
      <w:bookmarkStart w:id="205" w:name="_Toc150480764"/>
      <w:r/>
      <w:bookmarkStart w:id="206" w:name="_Toc265228364"/>
      <w:r/>
      <w:bookmarkStart w:id="207" w:name="_Toc226309770"/>
      <w:r/>
      <w:bookmarkStart w:id="208" w:name="_Toc305158868"/>
      <w:r/>
      <w:bookmarkStart w:id="209" w:name="_Toc151193624"/>
      <w:r>
        <w:rPr>
          <w:color w:val="000000"/>
          <w:sz w:val="28"/>
          <w:highlight w:val="none"/>
        </w:rPr>
      </w:r>
      <w:r/>
    </w:p>
    <w:p>
      <w:pPr>
        <w:pStyle w:val="112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94"/>
      <w:r>
        <w:rPr>
          <w:rFonts w:ascii="Times New Roman" w:hAnsi="Times New Roman" w:eastAsia="宋体"/>
          <w:color w:val="000000"/>
          <w:sz w:val="28"/>
          <w:highlight w:val="none"/>
        </w:rPr>
        <w:t xml:space="preserve">的编制</w:t>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0" w:name="_Toc127151527"/>
      <w:r/>
      <w:bookmarkStart w:id="211" w:name="_Toc142311029"/>
      <w:r/>
      <w:bookmarkStart w:id="212" w:name="_Toc151190154"/>
      <w:r/>
      <w:bookmarkStart w:id="213" w:name="_Toc226965800"/>
      <w:r/>
      <w:bookmarkStart w:id="214" w:name="_Toc195842892"/>
      <w:r/>
      <w:bookmarkStart w:id="215" w:name="_Toc264969217"/>
      <w:r/>
      <w:bookmarkStart w:id="216" w:name="_Toc305158795"/>
      <w:r/>
      <w:bookmarkStart w:id="217" w:name="_Toc127161441"/>
      <w:r/>
      <w:bookmarkStart w:id="218" w:name="_Toc150774627"/>
      <w:r/>
      <w:bookmarkStart w:id="219" w:name="_Toc151193625"/>
      <w:r/>
      <w:bookmarkStart w:id="220" w:name="_Toc151193915"/>
      <w:r/>
      <w:bookmarkStart w:id="221" w:name="_Toc226965717"/>
      <w:r/>
      <w:bookmarkStart w:id="222" w:name="_Toc150774732"/>
      <w:r/>
      <w:bookmarkStart w:id="223" w:name="_Toc164608796"/>
      <w:r/>
      <w:bookmarkStart w:id="224" w:name="_Toc151193697"/>
      <w:r/>
      <w:bookmarkStart w:id="225" w:name="_Toc151193841"/>
      <w:r/>
      <w:bookmarkStart w:id="226" w:name="_Toc150480765"/>
      <w:r/>
      <w:bookmarkStart w:id="227" w:name="_Toc164351621"/>
      <w:r/>
      <w:bookmarkStart w:id="228" w:name="_Toc226309771"/>
      <w:r/>
      <w:bookmarkStart w:id="229" w:name="_Toc149720820"/>
      <w:r/>
      <w:bookmarkStart w:id="230" w:name="_Toc305158869"/>
      <w:r/>
      <w:bookmarkStart w:id="231" w:name="_Toc516367021"/>
      <w:r/>
      <w:bookmarkStart w:id="232" w:name="_Toc226337223"/>
      <w:r/>
      <w:bookmarkStart w:id="233" w:name="_Toc164229222"/>
      <w:r/>
      <w:bookmarkStart w:id="234" w:name="_Toc127151728"/>
      <w:r/>
      <w:bookmarkStart w:id="235" w:name="_Toc164608641"/>
      <w:r/>
      <w:bookmarkStart w:id="236" w:name="_Toc164229368"/>
      <w:r/>
      <w:bookmarkStart w:id="237" w:name="_Toc265228365"/>
      <w:r/>
      <w:bookmarkStart w:id="238" w:name="_Toc151193769"/>
      <w:r/>
      <w:bookmarkStart w:id="239" w:name="_Toc150509278"/>
      <w:r/>
      <w:bookmarkStart w:id="240" w:name="_Toc520356151"/>
      <w:r>
        <w:rPr>
          <w:color w:val="000000"/>
          <w:sz w:val="24"/>
          <w:highlight w:val="none"/>
        </w:rPr>
        <w:t xml:space="preserve">响应范围、竞争性磋商文件中计量单位的使用</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color w:val="000000"/>
          <w:sz w:val="24"/>
          <w:highlight w:val="none"/>
        </w:rPr>
        <w:t xml:space="preserve">及磋商语言</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1" w:name="_Toc150509279"/>
      <w:r/>
      <w:bookmarkStart w:id="242" w:name="_Toc226337224"/>
      <w:r/>
      <w:bookmarkStart w:id="243" w:name="_Toc520356152"/>
      <w:r/>
      <w:bookmarkStart w:id="244" w:name="_Toc151193916"/>
      <w:r/>
      <w:bookmarkStart w:id="245" w:name="_Toc150774733"/>
      <w:r/>
      <w:bookmarkStart w:id="246" w:name="_Toc127161442"/>
      <w:r/>
      <w:bookmarkStart w:id="247" w:name="_Toc164608797"/>
      <w:r/>
      <w:bookmarkStart w:id="248" w:name="_Toc164229369"/>
      <w:r/>
      <w:bookmarkStart w:id="249" w:name="_Toc164351622"/>
      <w:r/>
      <w:bookmarkStart w:id="250" w:name="_Toc164608642"/>
      <w:r/>
      <w:bookmarkStart w:id="251" w:name="_Toc164229223"/>
      <w:r/>
      <w:bookmarkStart w:id="252" w:name="_Toc151193770"/>
      <w:r/>
      <w:bookmarkStart w:id="253" w:name="_Toc151193698"/>
      <w:r/>
      <w:bookmarkStart w:id="254" w:name="_Toc305158796"/>
      <w:r/>
      <w:bookmarkStart w:id="255" w:name="_Ref467306676"/>
      <w:r/>
      <w:bookmarkStart w:id="256" w:name="_Toc516367022"/>
      <w:r/>
      <w:bookmarkStart w:id="257" w:name="_Toc127151729"/>
      <w:r/>
      <w:bookmarkStart w:id="258" w:name="_Toc264969218"/>
      <w:r/>
      <w:bookmarkStart w:id="259" w:name="_Toc226965801"/>
      <w:r/>
      <w:bookmarkStart w:id="260" w:name="_Toc151193626"/>
      <w:r/>
      <w:bookmarkStart w:id="261" w:name="_Ref467306195"/>
      <w:r/>
      <w:bookmarkStart w:id="262" w:name="_Toc305158870"/>
      <w:r/>
      <w:bookmarkStart w:id="263" w:name="_Toc195842893"/>
      <w:r/>
      <w:bookmarkStart w:id="264" w:name="_Toc151190155"/>
      <w:r/>
      <w:bookmarkStart w:id="265" w:name="_Toc150774628"/>
      <w:r/>
      <w:bookmarkStart w:id="266" w:name="_Toc265228366"/>
      <w:r/>
      <w:bookmarkStart w:id="267" w:name="_Toc142311030"/>
      <w:r/>
      <w:bookmarkStart w:id="268" w:name="_Toc127151528"/>
      <w:r/>
      <w:bookmarkStart w:id="269" w:name="_Toc226965718"/>
      <w:r/>
      <w:bookmarkStart w:id="270" w:name="_Toc151193842"/>
      <w:r/>
      <w:bookmarkStart w:id="271" w:name="_Toc226309772"/>
      <w:r/>
      <w:bookmarkStart w:id="272" w:name="_Toc149720821"/>
      <w:r/>
      <w:bookmarkStart w:id="273" w:name="_Toc150480766"/>
      <w:r>
        <w:rPr>
          <w:color w:val="000000"/>
          <w:sz w:val="24"/>
          <w:highlight w:val="none"/>
        </w:rPr>
        <w:t xml:space="preserve">响应文件</w:t>
      </w:r>
      <w:bookmarkEnd w:id="255"/>
      <w:r/>
      <w:bookmarkEnd w:id="256"/>
      <w:r/>
      <w:bookmarkEnd w:id="261"/>
      <w:r>
        <w:rPr>
          <w:color w:val="000000"/>
          <w:sz w:val="24"/>
          <w:highlight w:val="none"/>
        </w:rPr>
        <w:t xml:space="preserve">构成</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7"/>
      <w:r/>
      <w:bookmarkEnd w:id="258"/>
      <w:r/>
      <w:bookmarkEnd w:id="259"/>
      <w:r/>
      <w:bookmarkEnd w:id="260"/>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74"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74"/>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75" w:name="_Toc195842895"/>
      <w:r/>
      <w:bookmarkStart w:id="276" w:name="_Toc150774735"/>
      <w:r/>
      <w:bookmarkStart w:id="277" w:name="_Toc151193844"/>
      <w:r/>
      <w:bookmarkStart w:id="278" w:name="_Toc127151530"/>
      <w:r/>
      <w:bookmarkStart w:id="279" w:name="_Toc164608799"/>
      <w:r/>
      <w:bookmarkStart w:id="280" w:name="_Toc520356155"/>
      <w:r/>
      <w:bookmarkStart w:id="281" w:name="_Toc151193918"/>
      <w:r/>
      <w:bookmarkStart w:id="282" w:name="_Toc127151731"/>
      <w:r/>
      <w:bookmarkStart w:id="283" w:name="_Toc149720823"/>
      <w:r/>
      <w:bookmarkStart w:id="284" w:name="_Toc164229225"/>
      <w:r/>
      <w:bookmarkStart w:id="285" w:name="_Toc127161444"/>
      <w:r/>
      <w:bookmarkStart w:id="286" w:name="_Toc151193700"/>
      <w:r/>
      <w:bookmarkStart w:id="287" w:name="_Toc164608644"/>
      <w:r/>
      <w:bookmarkStart w:id="288" w:name="_Toc151193772"/>
      <w:r/>
      <w:bookmarkStart w:id="289" w:name="_Toc151193628"/>
      <w:r/>
      <w:bookmarkStart w:id="290" w:name="_Toc164351624"/>
      <w:r/>
      <w:bookmarkStart w:id="291" w:name="_Toc151190157"/>
      <w:r/>
      <w:bookmarkStart w:id="292" w:name="_Toc150480768"/>
      <w:r/>
      <w:bookmarkStart w:id="293" w:name="_Toc142311032"/>
      <w:r/>
      <w:bookmarkStart w:id="294" w:name="_Toc150774630"/>
      <w:r/>
      <w:bookmarkStart w:id="295" w:name="_Toc150509281"/>
      <w:r/>
      <w:bookmarkStart w:id="296" w:name="_Toc164229371"/>
      <w:r>
        <w:rPr>
          <w:color w:val="000000"/>
          <w:sz w:val="24"/>
          <w:highlight w:val="none"/>
        </w:rPr>
        <w:t xml:space="preserve">报价</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1122"/>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1122"/>
        <w:numPr>
          <w:ilvl w:val="1"/>
          <w:numId w:val="8"/>
        </w:numPr>
        <w:ind w:left="0" w:firstLine="422"/>
        <w:spacing w:line="360" w:lineRule="auto"/>
        <w:tabs>
          <w:tab w:val="left" w:pos="567" w:leader="none"/>
          <w:tab w:val="left" w:pos="851" w:leader="none"/>
          <w:tab w:val="left" w:pos="1080" w:leader="none"/>
          <w:tab w:val="left" w:pos="1589" w:leader="none"/>
        </w:tabs>
        <w:rPr>
          <w:color w:val="000000"/>
          <w:highlight w:val="none"/>
        </w:rPr>
      </w:pPr>
      <w:r>
        <w:rPr>
          <w:rFonts w:hint="eastAsia"/>
          <w:b/>
          <w:bCs/>
          <w:color w:val="000000"/>
          <w:sz w:val="24"/>
          <w:highlight w:val="none"/>
        </w:rPr>
        <w:t xml:space="preserve"> </w:t>
      </w:r>
      <w:r>
        <w:rPr>
          <w:b/>
          <w:bCs/>
          <w:color w:val="000000"/>
          <w:sz w:val="24"/>
          <w:highlight w:val="none"/>
        </w:rPr>
        <w:t xml:space="preserve"> </w:t>
      </w:r>
      <w:r>
        <w:rPr>
          <w:rFonts w:hint="eastAsia"/>
          <w:b/>
          <w:bCs/>
          <w:color w:val="000000"/>
          <w:sz w:val="24"/>
          <w:highlight w:val="none"/>
        </w:rPr>
        <w:t xml:space="preserve">报价次数：2次报价，</w:t>
      </w:r>
      <w:r>
        <w:rPr>
          <w:rFonts w:hint="eastAsia"/>
          <w:color w:val="000000"/>
          <w:sz w:val="24"/>
          <w:highlight w:val="none"/>
        </w:rPr>
        <w:t xml:space="preserve">响应文件中的报价作为首次报价，首次报价不可超预算价，磋商小组应当要求所有实质性响应的供应商在规定时间内提交最后报价，最后报价作为评分依据。</w:t>
      </w:r>
      <w:r>
        <w:rPr>
          <w:color w:val="000000"/>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1122"/>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97" w:name="_Toc265228371"/>
      <w:r/>
      <w:bookmarkStart w:id="298" w:name="_Toc195842898"/>
      <w:r/>
      <w:bookmarkStart w:id="299" w:name="_Toc127151734"/>
      <w:r/>
      <w:bookmarkStart w:id="300" w:name="_Toc151193847"/>
      <w:r/>
      <w:bookmarkStart w:id="301" w:name="_Toc151193703"/>
      <w:r/>
      <w:bookmarkStart w:id="302" w:name="_Toc226965723"/>
      <w:r/>
      <w:bookmarkStart w:id="303" w:name="_Toc164229374"/>
      <w:r/>
      <w:bookmarkStart w:id="304" w:name="_Toc151193775"/>
      <w:r/>
      <w:bookmarkStart w:id="305" w:name="_Toc264969223"/>
      <w:r/>
      <w:bookmarkStart w:id="306" w:name="_Toc226309777"/>
      <w:r/>
      <w:bookmarkStart w:id="307" w:name="_Toc149720826"/>
      <w:r/>
      <w:bookmarkStart w:id="308" w:name="_Toc305158801"/>
      <w:r/>
      <w:bookmarkStart w:id="309" w:name="_Toc164229228"/>
      <w:r/>
      <w:bookmarkStart w:id="310" w:name="_Toc150509284"/>
      <w:r/>
      <w:bookmarkStart w:id="311" w:name="_Toc151193921"/>
      <w:r/>
      <w:bookmarkStart w:id="312" w:name="_Toc164608647"/>
      <w:r/>
      <w:bookmarkStart w:id="313" w:name="_Toc520356158"/>
      <w:r/>
      <w:bookmarkStart w:id="314" w:name="_Toc226965806"/>
      <w:r/>
      <w:bookmarkStart w:id="315" w:name="_Toc142311035"/>
      <w:r/>
      <w:bookmarkStart w:id="316" w:name="_Toc150480771"/>
      <w:r/>
      <w:bookmarkStart w:id="317" w:name="_Toc127151533"/>
      <w:r/>
      <w:bookmarkStart w:id="318" w:name="_Toc164608802"/>
      <w:r/>
      <w:bookmarkStart w:id="319" w:name="_Toc151193631"/>
      <w:r/>
      <w:bookmarkStart w:id="320" w:name="_Toc226337229"/>
      <w:r/>
      <w:bookmarkStart w:id="321" w:name="_Toc127161447"/>
      <w:r/>
      <w:bookmarkStart w:id="322" w:name="_Toc151190160"/>
      <w:r/>
      <w:bookmarkStart w:id="323" w:name="_Toc305158875"/>
      <w:r/>
      <w:bookmarkStart w:id="324" w:name="_Toc150774738"/>
      <w:r/>
      <w:bookmarkStart w:id="325" w:name="_Toc150774633"/>
      <w:r/>
      <w:bookmarkStart w:id="326" w:name="_Toc164351627"/>
      <w:r>
        <w:rPr>
          <w:color w:val="000000"/>
          <w:sz w:val="24"/>
          <w:highlight w:val="none"/>
        </w:rPr>
        <w:t xml:space="preserve">响应文件的签署</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color w:val="000000"/>
          <w:sz w:val="24"/>
          <w:highlight w:val="none"/>
        </w:rPr>
        <w:t xml:space="preserve">、盖章</w:t>
      </w:r>
      <w:r>
        <w:rPr>
          <w:color w:val="000000"/>
          <w:sz w:val="24"/>
          <w:highlight w:val="none"/>
        </w:rPr>
      </w:r>
      <w:r/>
    </w:p>
    <w:p>
      <w:pPr>
        <w:pStyle w:val="1122"/>
        <w:numPr>
          <w:ilvl w:val="1"/>
          <w:numId w:val="8"/>
        </w:numPr>
        <w:spacing w:line="360" w:lineRule="auto"/>
        <w:tabs>
          <w:tab w:val="left" w:pos="1080" w:leader="none"/>
          <w:tab w:val="left" w:pos="1589" w:leader="none"/>
        </w:tabs>
        <w:rPr>
          <w:color w:val="000000"/>
          <w:sz w:val="24"/>
          <w:highlight w:val="none"/>
        </w:rPr>
      </w:pPr>
      <w:r/>
      <w:bookmarkStart w:id="327" w:name="_Toc305158876"/>
      <w:r/>
      <w:bookmarkStart w:id="328" w:name="_Toc151193704"/>
      <w:r/>
      <w:bookmarkStart w:id="329" w:name="_Toc195842899"/>
      <w:r/>
      <w:bookmarkStart w:id="330" w:name="_Toc226965807"/>
      <w:r/>
      <w:bookmarkStart w:id="331" w:name="_Toc265228372"/>
      <w:r/>
      <w:bookmarkStart w:id="332" w:name="_Toc151193848"/>
      <w:r/>
      <w:bookmarkStart w:id="333" w:name="_Toc142311036"/>
      <w:r/>
      <w:bookmarkStart w:id="334" w:name="_Toc151193922"/>
      <w:r/>
      <w:bookmarkStart w:id="335" w:name="_Toc226965724"/>
      <w:r/>
      <w:bookmarkStart w:id="336" w:name="_Toc151193776"/>
      <w:r/>
      <w:bookmarkStart w:id="337" w:name="_Toc151193632"/>
      <w:r/>
      <w:bookmarkStart w:id="338" w:name="_Toc150509285"/>
      <w:r/>
      <w:bookmarkStart w:id="339" w:name="_Toc151190161"/>
      <w:r/>
      <w:bookmarkStart w:id="340" w:name="_Toc264969224"/>
      <w:r/>
      <w:bookmarkStart w:id="341" w:name="_Toc226309778"/>
      <w:r/>
      <w:bookmarkStart w:id="342" w:name="_Toc127151534"/>
      <w:r/>
      <w:bookmarkStart w:id="343" w:name="_Toc305158802"/>
      <w:r/>
      <w:bookmarkStart w:id="344" w:name="_Toc226337230"/>
      <w:r/>
      <w:bookmarkStart w:id="345" w:name="_Toc150774739"/>
      <w:r/>
      <w:bookmarkStart w:id="346" w:name="_Toc520356159"/>
      <w:r/>
      <w:bookmarkStart w:id="347" w:name="_Toc150774634"/>
      <w:r/>
      <w:bookmarkStart w:id="348" w:name="_Toc150480772"/>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122"/>
        <w:ind w:left="357"/>
        <w:spacing w:line="360" w:lineRule="auto"/>
        <w:tabs>
          <w:tab w:val="left" w:pos="900" w:leader="none"/>
          <w:tab w:val="left" w:pos="1080" w:leader="none"/>
        </w:tabs>
        <w:rPr>
          <w:color w:val="000000"/>
          <w:highlight w:val="none"/>
        </w:rPr>
      </w:pPr>
      <w:r>
        <w:rPr>
          <w:color w:val="000000"/>
          <w:highlight w:val="none"/>
        </w:rPr>
      </w:r>
      <w:r/>
    </w:p>
    <w:p>
      <w:pPr>
        <w:pStyle w:val="112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49" w:name="_Toc151190162"/>
      <w:r/>
      <w:bookmarkStart w:id="350" w:name="_Toc151193777"/>
      <w:r/>
      <w:bookmarkStart w:id="351" w:name="_Toc520356160"/>
      <w:r/>
      <w:bookmarkStart w:id="352" w:name="_Toc149720828"/>
      <w:r/>
      <w:bookmarkStart w:id="353" w:name="_Toc226309779"/>
      <w:r/>
      <w:bookmarkStart w:id="354" w:name="_Toc151193633"/>
      <w:r/>
      <w:bookmarkStart w:id="355" w:name="_Toc226965808"/>
      <w:r/>
      <w:bookmarkStart w:id="356" w:name="_Toc151193923"/>
      <w:r/>
      <w:bookmarkStart w:id="357" w:name="_Toc226965725"/>
      <w:r/>
      <w:bookmarkStart w:id="358" w:name="_Toc127151736"/>
      <w:r/>
      <w:bookmarkStart w:id="359" w:name="_Toc150509286"/>
      <w:r/>
      <w:bookmarkStart w:id="360" w:name="_Toc164229376"/>
      <w:r/>
      <w:bookmarkStart w:id="361" w:name="_Toc264969225"/>
      <w:r/>
      <w:bookmarkStart w:id="362" w:name="_Toc164351629"/>
      <w:r/>
      <w:bookmarkStart w:id="363" w:name="_Toc195842900"/>
      <w:r/>
      <w:bookmarkStart w:id="364" w:name="_Toc164229230"/>
      <w:r/>
      <w:bookmarkStart w:id="365" w:name="_Toc150774635"/>
      <w:r/>
      <w:bookmarkStart w:id="366" w:name="_Toc164608804"/>
      <w:r/>
      <w:bookmarkStart w:id="367" w:name="_Toc151193849"/>
      <w:r/>
      <w:bookmarkStart w:id="368" w:name="_Toc151193705"/>
      <w:r/>
      <w:bookmarkStart w:id="369" w:name="_Toc305158877"/>
      <w:r/>
      <w:bookmarkStart w:id="370" w:name="_Toc305158803"/>
      <w:r/>
      <w:bookmarkStart w:id="371" w:name="_Toc226337231"/>
      <w:r/>
      <w:bookmarkStart w:id="372" w:name="_Toc150774740"/>
      <w:r/>
      <w:bookmarkStart w:id="373" w:name="_Toc265228373"/>
      <w:r/>
      <w:bookmarkStart w:id="374" w:name="_Toc142311037"/>
      <w:r/>
      <w:bookmarkStart w:id="375" w:name="_Toc164608649"/>
      <w:r/>
      <w:bookmarkStart w:id="376" w:name="_Toc127151535"/>
      <w:r/>
      <w:bookmarkStart w:id="377" w:name="_Toc127161449"/>
      <w:r/>
      <w:bookmarkStart w:id="378" w:name="_Toc150480773"/>
      <w:r>
        <w:rPr>
          <w:color w:val="000000"/>
          <w:sz w:val="24"/>
          <w:highlight w:val="none"/>
        </w:rPr>
        <w:t xml:space="preserve">响应文件的</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color w:val="000000"/>
          <w:sz w:val="24"/>
          <w:highlight w:val="none"/>
        </w:rPr>
        <w:t xml:space="preserve">提交</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本项目使用</w:t>
      </w:r>
      <w:r>
        <w:rPr>
          <w:rFonts w:hint="eastAsia"/>
          <w:color w:val="000000"/>
          <w:sz w:val="24"/>
          <w:highlight w:val="none"/>
        </w:rPr>
        <w:t xml:space="preserve">“苏采云”系统</w:t>
      </w:r>
      <w:r>
        <w:rPr>
          <w:color w:val="000000"/>
          <w:sz w:val="24"/>
          <w:highlight w:val="none"/>
        </w:rPr>
        <w:t xml:space="preserve">。供应商根据竞争性磋商文件及</w:t>
      </w:r>
      <w:r>
        <w:rPr>
          <w:rFonts w:hint="eastAsia"/>
          <w:color w:val="000000"/>
          <w:sz w:val="24"/>
          <w:highlight w:val="none"/>
        </w:rPr>
        <w:t xml:space="preserve">“苏采云”系统</w:t>
      </w:r>
      <w:r>
        <w:rPr>
          <w:color w:val="000000"/>
          <w:sz w:val="24"/>
          <w:highlight w:val="none"/>
        </w:rPr>
        <w:t xml:space="preserve">供应商操作手册要求编制、生成并提交电子响应文件。</w:t>
      </w:r>
      <w:r>
        <w:rPr>
          <w:rFonts w:hint="eastAsia"/>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79" w:name="_Toc127151737"/>
      <w:r/>
      <w:bookmarkStart w:id="380" w:name="_Toc164608805"/>
      <w:r/>
      <w:bookmarkStart w:id="381" w:name="_Toc226309780"/>
      <w:r/>
      <w:bookmarkStart w:id="382" w:name="_Toc151193850"/>
      <w:r/>
      <w:bookmarkStart w:id="383" w:name="_Toc164608650"/>
      <w:r/>
      <w:bookmarkStart w:id="384" w:name="_Toc226337232"/>
      <w:r/>
      <w:bookmarkStart w:id="385" w:name="_Toc151193634"/>
      <w:r/>
      <w:bookmarkStart w:id="386" w:name="_Toc150480774"/>
      <w:r/>
      <w:bookmarkStart w:id="387" w:name="_Toc264969226"/>
      <w:r/>
      <w:bookmarkStart w:id="388" w:name="_Toc520356161"/>
      <w:r/>
      <w:bookmarkStart w:id="389" w:name="_Toc151193706"/>
      <w:r/>
      <w:bookmarkStart w:id="390" w:name="_Toc149720829"/>
      <w:r/>
      <w:bookmarkStart w:id="391" w:name="_Toc151193778"/>
      <w:r/>
      <w:bookmarkStart w:id="392" w:name="_Toc164351630"/>
      <w:r/>
      <w:bookmarkStart w:id="393" w:name="_Toc150774636"/>
      <w:r/>
      <w:bookmarkStart w:id="394" w:name="_Toc195842901"/>
      <w:r/>
      <w:bookmarkStart w:id="395" w:name="_Toc150774741"/>
      <w:r/>
      <w:bookmarkStart w:id="396" w:name="_Toc164229231"/>
      <w:r/>
      <w:bookmarkStart w:id="397" w:name="_Toc226965726"/>
      <w:r/>
      <w:bookmarkStart w:id="398" w:name="_Toc150509287"/>
      <w:r/>
      <w:bookmarkStart w:id="399" w:name="_Toc164229377"/>
      <w:r/>
      <w:bookmarkStart w:id="400" w:name="_Toc226965809"/>
      <w:r/>
      <w:bookmarkStart w:id="401" w:name="_Toc305158804"/>
      <w:r/>
      <w:bookmarkStart w:id="402" w:name="_Toc151190163"/>
      <w:r/>
      <w:bookmarkStart w:id="403" w:name="_Toc127161450"/>
      <w:r/>
      <w:bookmarkStart w:id="404" w:name="_Toc151193924"/>
      <w:r/>
      <w:bookmarkStart w:id="405" w:name="_Toc127151536"/>
      <w:r/>
      <w:bookmarkStart w:id="406" w:name="_Toc142311038"/>
      <w:r/>
      <w:bookmarkStart w:id="407" w:name="_Toc265228374"/>
      <w:r/>
      <w:bookmarkStart w:id="408" w:name="_Toc305158878"/>
      <w:r>
        <w:rPr>
          <w:color w:val="000000"/>
          <w:sz w:val="24"/>
          <w:highlight w:val="none"/>
        </w:rPr>
        <w:t xml:space="preserve">响应文件截止</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color w:val="000000"/>
          <w:sz w:val="24"/>
          <w:highlight w:val="none"/>
        </w:rPr>
        <w:t xml:space="preserve">时间</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rPr>
        <w:t xml:space="preserve">“苏采云”系统</w:t>
      </w:r>
      <w:r>
        <w:rPr>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09" w:name="_Toc150509288"/>
      <w:r/>
      <w:bookmarkStart w:id="410" w:name="_Toc226337233"/>
      <w:r/>
      <w:bookmarkStart w:id="411" w:name="_Toc150774637"/>
      <w:r/>
      <w:bookmarkStart w:id="412" w:name="_Toc149720830"/>
      <w:r/>
      <w:bookmarkStart w:id="413" w:name="_Toc151193925"/>
      <w:r/>
      <w:bookmarkStart w:id="414" w:name="_Toc151190164"/>
      <w:r/>
      <w:bookmarkStart w:id="415" w:name="_Toc305158879"/>
      <w:r/>
      <w:bookmarkStart w:id="416" w:name="_Toc127151738"/>
      <w:r/>
      <w:bookmarkStart w:id="417" w:name="_Toc151193707"/>
      <w:r/>
      <w:bookmarkStart w:id="418" w:name="_Toc127151537"/>
      <w:r/>
      <w:bookmarkStart w:id="419" w:name="_Toc164229378"/>
      <w:r/>
      <w:bookmarkStart w:id="420" w:name="_Toc520356162"/>
      <w:r/>
      <w:bookmarkStart w:id="421" w:name="_Toc226965810"/>
      <w:r/>
      <w:bookmarkStart w:id="422" w:name="_Toc226309781"/>
      <w:r/>
      <w:bookmarkStart w:id="423" w:name="_Toc151193635"/>
      <w:r/>
      <w:bookmarkStart w:id="424" w:name="_Toc264969227"/>
      <w:r/>
      <w:bookmarkStart w:id="425" w:name="_Toc305158805"/>
      <w:r/>
      <w:bookmarkStart w:id="426" w:name="_Toc142311039"/>
      <w:r/>
      <w:bookmarkStart w:id="427" w:name="_Toc265228375"/>
      <w:r/>
      <w:bookmarkStart w:id="428" w:name="_Toc151193779"/>
      <w:r/>
      <w:bookmarkStart w:id="429" w:name="_Toc164608806"/>
      <w:r/>
      <w:bookmarkStart w:id="430" w:name="_Toc127161451"/>
      <w:r/>
      <w:bookmarkStart w:id="431" w:name="_Toc150774742"/>
      <w:r/>
      <w:bookmarkStart w:id="432" w:name="_Toc226965727"/>
      <w:r/>
      <w:bookmarkStart w:id="433" w:name="_Toc150480775"/>
      <w:r/>
      <w:bookmarkStart w:id="434" w:name="_Toc164608651"/>
      <w:r/>
      <w:bookmarkStart w:id="435" w:name="_Toc195842902"/>
      <w:r/>
      <w:bookmarkStart w:id="436" w:name="_Toc164229232"/>
      <w:r/>
      <w:bookmarkStart w:id="437" w:name="_Toc164351631"/>
      <w:r/>
      <w:bookmarkStart w:id="438" w:name="_Toc151193851"/>
      <w:r>
        <w:rPr>
          <w:color w:val="000000"/>
          <w:sz w:val="24"/>
          <w:highlight w:val="none"/>
        </w:rPr>
        <w:t xml:space="preserve">响应文件的修改与撤回</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1122"/>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1124"/>
        <w:spacing w:before="0" w:line="360" w:lineRule="auto"/>
        <w:rPr>
          <w:rFonts w:ascii="Times New Roman" w:hAnsi="Times New Roman" w:eastAsia="宋体"/>
          <w:color w:val="000000"/>
          <w:sz w:val="28"/>
          <w:highlight w:val="none"/>
        </w:rPr>
      </w:pPr>
      <w:r/>
      <w:bookmarkStart w:id="439" w:name="_Toc151190165"/>
      <w:r/>
      <w:bookmarkStart w:id="440" w:name="_Toc150774743"/>
      <w:r/>
      <w:bookmarkStart w:id="441" w:name="_Toc305158806"/>
      <w:r/>
      <w:bookmarkStart w:id="442" w:name="_Toc150480776"/>
      <w:r/>
      <w:bookmarkStart w:id="443" w:name="_Toc265228376"/>
      <w:r/>
      <w:bookmarkStart w:id="444" w:name="_Toc142311040"/>
      <w:r/>
      <w:bookmarkStart w:id="445" w:name="_Toc151193852"/>
      <w:r/>
      <w:bookmarkStart w:id="446" w:name="_Toc151193926"/>
      <w:r/>
      <w:bookmarkStart w:id="447" w:name="_Toc151193708"/>
      <w:r/>
      <w:bookmarkStart w:id="448" w:name="_Toc151193780"/>
      <w:r/>
      <w:bookmarkStart w:id="449" w:name="_Toc195842903"/>
      <w:r/>
      <w:bookmarkStart w:id="450" w:name="_Toc226965728"/>
      <w:r/>
      <w:bookmarkStart w:id="451" w:name="_Toc520356163"/>
      <w:r/>
      <w:bookmarkStart w:id="452" w:name="_Toc226965811"/>
      <w:r/>
      <w:bookmarkStart w:id="453" w:name="_Toc305158880"/>
      <w:r/>
      <w:bookmarkStart w:id="454" w:name="_Toc264969228"/>
      <w:r/>
      <w:bookmarkStart w:id="455" w:name="_Toc226337234"/>
      <w:r/>
      <w:bookmarkStart w:id="456" w:name="_Toc151193636"/>
      <w:r/>
      <w:bookmarkStart w:id="457" w:name="_Toc226309782"/>
      <w:r/>
      <w:bookmarkStart w:id="458" w:name="_Toc127151538"/>
      <w:r/>
      <w:bookmarkStart w:id="459" w:name="_Toc150509289"/>
      <w:r/>
      <w:bookmarkStart w:id="460" w:name="_Toc150774638"/>
      <w:r>
        <w:rPr>
          <w:rFonts w:ascii="Times New Roman" w:hAnsi="Times New Roman" w:eastAsia="宋体"/>
          <w:color w:val="000000"/>
          <w:sz w:val="28"/>
          <w:highlight w:val="none"/>
        </w:rPr>
        <w:t xml:space="preserve">五   </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“苏采云”系统在线进行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61" w:name="_Toc520356165"/>
      <w:r>
        <w:rPr>
          <w:color w:val="000000"/>
          <w:sz w:val="24"/>
          <w:highlight w:val="none"/>
        </w:rPr>
        <w:t xml:space="preserve">本项目不公开报价。</w:t>
      </w:r>
      <w:r>
        <w:rPr>
          <w:rFonts w:hint="eastAsia"/>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bidi="ar"/>
        </w:rPr>
        <w:t xml:space="preserve">“苏采云”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122"/>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61"/>
      <w:r>
        <w:rPr>
          <w:color w:val="000000"/>
          <w:sz w:val="24"/>
          <w:highlight w:val="none"/>
        </w:rPr>
        <w:t xml:space="preserve">磋商小组</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62" w:name="_Toc520356166"/>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62"/>
      <w:r/>
      <w:bookmarkStart w:id="463" w:name="_Toc520356169"/>
      <w:r>
        <w:rPr>
          <w:color w:val="000000"/>
          <w:sz w:val="24"/>
          <w:highlight w:val="none"/>
        </w:rPr>
      </w:r>
      <w:r/>
    </w:p>
    <w:p>
      <w:pPr>
        <w:pStyle w:val="1122"/>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122"/>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124"/>
        <w:spacing w:before="0" w:line="360" w:lineRule="auto"/>
        <w:rPr>
          <w:rFonts w:ascii="Times New Roman" w:hAnsi="Times New Roman" w:eastAsia="宋体"/>
          <w:color w:val="000000"/>
          <w:sz w:val="28"/>
          <w:highlight w:val="none"/>
        </w:rPr>
      </w:pPr>
      <w:r/>
      <w:bookmarkStart w:id="464" w:name="_Toc264969235"/>
      <w:r/>
      <w:bookmarkStart w:id="465" w:name="_Toc226309789"/>
      <w:r/>
      <w:bookmarkStart w:id="466" w:name="_Toc142311047"/>
      <w:r/>
      <w:bookmarkStart w:id="467" w:name="_Toc226965818"/>
      <w:r/>
      <w:bookmarkStart w:id="468" w:name="_Toc150509296"/>
      <w:r/>
      <w:bookmarkStart w:id="469" w:name="_Toc127151545"/>
      <w:r/>
      <w:bookmarkStart w:id="470" w:name="_Toc151190172"/>
      <w:r/>
      <w:bookmarkStart w:id="471" w:name="_Toc195842910"/>
      <w:r/>
      <w:bookmarkStart w:id="472" w:name="_Toc150480783"/>
      <w:r/>
      <w:bookmarkStart w:id="473" w:name="_Toc150774645"/>
      <w:r/>
      <w:bookmarkStart w:id="474" w:name="_Toc151193859"/>
      <w:r/>
      <w:bookmarkStart w:id="475" w:name="_Toc151193715"/>
      <w:r/>
      <w:bookmarkStart w:id="476" w:name="_Toc150774750"/>
      <w:r/>
      <w:bookmarkStart w:id="477" w:name="_Toc305158887"/>
      <w:r/>
      <w:bookmarkStart w:id="478" w:name="_Toc151193933"/>
      <w:r/>
      <w:bookmarkStart w:id="479" w:name="_Toc265228383"/>
      <w:r/>
      <w:bookmarkStart w:id="480" w:name="_Toc305158813"/>
      <w:r/>
      <w:bookmarkStart w:id="481" w:name="_Toc151193643"/>
      <w:r/>
      <w:bookmarkStart w:id="482" w:name="_Toc226965735"/>
      <w:r/>
      <w:bookmarkStart w:id="483" w:name="_Toc226337241"/>
      <w:r/>
      <w:bookmarkStart w:id="484" w:name="_Toc151193787"/>
      <w:r>
        <w:rPr>
          <w:rFonts w:ascii="Times New Roman" w:hAnsi="Times New Roman" w:eastAsia="宋体"/>
          <w:color w:val="000000"/>
          <w:sz w:val="28"/>
          <w:highlight w:val="none"/>
        </w:rPr>
        <w:t xml:space="preserve">六   </w:t>
      </w:r>
      <w:bookmarkEnd w:id="463"/>
      <w:r>
        <w:rPr>
          <w:rFonts w:ascii="Times New Roman" w:hAnsi="Times New Roman" w:eastAsia="宋体"/>
          <w:color w:val="000000"/>
          <w:sz w:val="28"/>
          <w:highlight w:val="none"/>
        </w:rPr>
        <w:t xml:space="preserve">确定</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85" w:name="_Toc151193717"/>
      <w:r/>
      <w:bookmarkStart w:id="486" w:name="_Toc226965820"/>
      <w:r/>
      <w:bookmarkStart w:id="487" w:name="_Toc150774752"/>
      <w:r/>
      <w:bookmarkStart w:id="488" w:name="_Toc142311049"/>
      <w:r/>
      <w:bookmarkStart w:id="489" w:name="_Toc226965737"/>
      <w:r/>
      <w:bookmarkStart w:id="490" w:name="_Toc164351641"/>
      <w:r/>
      <w:bookmarkStart w:id="491" w:name="_Toc150509298"/>
      <w:r/>
      <w:bookmarkStart w:id="492" w:name="_Toc226337243"/>
      <w:r/>
      <w:bookmarkStart w:id="493" w:name="_Toc305158889"/>
      <w:r/>
      <w:bookmarkStart w:id="494" w:name="_Toc164229388"/>
      <w:r/>
      <w:bookmarkStart w:id="495" w:name="_Toc265228385"/>
      <w:r/>
      <w:bookmarkStart w:id="496" w:name="_Toc150774647"/>
      <w:r/>
      <w:bookmarkStart w:id="497" w:name="_Toc151190174"/>
      <w:r/>
      <w:bookmarkStart w:id="498" w:name="_Toc149720840"/>
      <w:r/>
      <w:bookmarkStart w:id="499" w:name="_Toc151193861"/>
      <w:r/>
      <w:bookmarkStart w:id="500" w:name="_Toc127151547"/>
      <w:r/>
      <w:bookmarkStart w:id="501" w:name="_Toc164608661"/>
      <w:r/>
      <w:bookmarkStart w:id="502" w:name="_Toc195842912"/>
      <w:r/>
      <w:bookmarkStart w:id="503" w:name="_Toc151193645"/>
      <w:r/>
      <w:bookmarkStart w:id="504" w:name="_Toc151193789"/>
      <w:r/>
      <w:bookmarkStart w:id="505" w:name="_Toc264969237"/>
      <w:r/>
      <w:bookmarkStart w:id="506" w:name="_Toc151193935"/>
      <w:r/>
      <w:bookmarkStart w:id="507" w:name="_Toc164608816"/>
      <w:r/>
      <w:bookmarkStart w:id="508" w:name="_Toc150480785"/>
      <w:r/>
      <w:bookmarkStart w:id="509" w:name="_Toc226309791"/>
      <w:r/>
      <w:bookmarkStart w:id="510" w:name="_Toc164229242"/>
      <w:r/>
      <w:bookmarkStart w:id="511" w:name="_Toc305158815"/>
      <w:r/>
      <w:bookmarkStart w:id="512" w:name="_Toc127161461"/>
      <w:r/>
      <w:bookmarkStart w:id="513" w:name="_Toc127151748"/>
      <w:r>
        <w:rPr>
          <w:color w:val="000000"/>
          <w:sz w:val="24"/>
          <w:highlight w:val="none"/>
        </w:rPr>
        <w:t xml:space="preserve">确定成交供应商</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14" w:name="_Toc305158891"/>
      <w:r/>
      <w:bookmarkStart w:id="515" w:name="_Toc305158817"/>
      <w:r/>
      <w:bookmarkStart w:id="516" w:name="_Toc264969239"/>
      <w:r/>
      <w:bookmarkStart w:id="517" w:name="_Toc150774649"/>
      <w:r/>
      <w:bookmarkStart w:id="518" w:name="_Toc142311051"/>
      <w:r/>
      <w:bookmarkStart w:id="519" w:name="_Toc164229390"/>
      <w:r/>
      <w:bookmarkStart w:id="520" w:name="_Toc149720842"/>
      <w:r/>
      <w:bookmarkStart w:id="521" w:name="_Toc151193647"/>
      <w:r/>
      <w:bookmarkStart w:id="522" w:name="_Ref467307090"/>
      <w:r/>
      <w:bookmarkStart w:id="523" w:name="_Toc520356176"/>
      <w:r/>
      <w:bookmarkStart w:id="524" w:name="_Ref467306425"/>
      <w:r/>
      <w:bookmarkStart w:id="525" w:name="_Toc226965822"/>
      <w:r/>
      <w:bookmarkStart w:id="526" w:name="_Toc151193791"/>
      <w:r/>
      <w:bookmarkStart w:id="527" w:name="_Toc151190176"/>
      <w:r/>
      <w:bookmarkStart w:id="528" w:name="_Toc127151549"/>
      <w:r/>
      <w:bookmarkStart w:id="529" w:name="_Toc164351643"/>
      <w:r/>
      <w:bookmarkStart w:id="530" w:name="_Toc127151750"/>
      <w:r/>
      <w:bookmarkStart w:id="531" w:name="_Toc226965739"/>
      <w:r/>
      <w:bookmarkStart w:id="532" w:name="_Toc150480787"/>
      <w:r/>
      <w:bookmarkStart w:id="533" w:name="_Toc151193719"/>
      <w:r/>
      <w:bookmarkStart w:id="534" w:name="_Toc195842914"/>
      <w:r/>
      <w:bookmarkStart w:id="535" w:name="_Toc226309793"/>
      <w:r/>
      <w:bookmarkStart w:id="536" w:name="_Toc127161463"/>
      <w:r/>
      <w:bookmarkStart w:id="537" w:name="_Toc164229244"/>
      <w:r/>
      <w:bookmarkStart w:id="538" w:name="_Toc164608663"/>
      <w:r/>
      <w:bookmarkStart w:id="539" w:name="_Toc265228387"/>
      <w:r/>
      <w:bookmarkStart w:id="540" w:name="_Toc150774754"/>
      <w:r/>
      <w:bookmarkStart w:id="541" w:name="_Toc151193937"/>
      <w:r/>
      <w:bookmarkStart w:id="542" w:name="_Toc151193863"/>
      <w:r/>
      <w:bookmarkStart w:id="543" w:name="_Toc226337245"/>
      <w:r/>
      <w:bookmarkStart w:id="544" w:name="_Toc150509300"/>
      <w:r/>
      <w:bookmarkStart w:id="545" w:name="_Toc164608818"/>
      <w:r>
        <w:rPr>
          <w:color w:val="000000"/>
          <w:sz w:val="24"/>
          <w:highlight w:val="none"/>
        </w:rPr>
        <w:t xml:space="preserve">成交公告与成交通知书</w:t>
      </w:r>
      <w:bookmarkEnd w:id="514"/>
      <w:r/>
      <w:bookmarkEnd w:id="515"/>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1122"/>
        <w:ind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中标/成交结果公示内容按照《政府采购公告和公示信息格式规范（2020年版）》（财办库【2020】50号规定的“中标（成交）结果公告”内容，供应商每项具体明细得分不是公告内容。</w:t>
      </w:r>
      <w:r>
        <w:rPr>
          <w:rFonts w:hint="eastAsia"/>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122"/>
        <w:numPr>
          <w:ilvl w:val="2"/>
          <w:numId w:val="8"/>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16"/>
      <w:r/>
      <w:bookmarkEnd w:id="517"/>
      <w:r/>
      <w:bookmarkEnd w:id="518"/>
      <w:r/>
      <w:bookmarkEnd w:id="519"/>
      <w:r/>
      <w:bookmarkEnd w:id="520"/>
      <w:r/>
      <w:bookmarkEnd w:id="521"/>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Start w:id="546" w:name="_Toc149720843"/>
      <w:r/>
      <w:bookmarkStart w:id="547" w:name="_Toc142311052"/>
      <w:r/>
      <w:bookmarkStart w:id="548" w:name="_Toc265228388"/>
      <w:r/>
      <w:bookmarkStart w:id="549" w:name="_Toc164608664"/>
      <w:r/>
      <w:bookmarkStart w:id="550" w:name="_Toc264969240"/>
      <w:r/>
      <w:bookmarkStart w:id="551" w:name="_Ref467307062"/>
      <w:r/>
      <w:bookmarkStart w:id="552" w:name="_Toc164229245"/>
      <w:r/>
      <w:bookmarkStart w:id="553" w:name="_Toc150480788"/>
      <w:r/>
      <w:bookmarkStart w:id="554" w:name="_Toc226965740"/>
      <w:r/>
      <w:bookmarkStart w:id="555" w:name="_Toc305158818"/>
      <w:r/>
      <w:bookmarkStart w:id="556" w:name="_Toc127151751"/>
      <w:r/>
      <w:bookmarkStart w:id="557" w:name="_Toc151193864"/>
      <w:r/>
      <w:bookmarkStart w:id="558" w:name="_Toc150774755"/>
      <w:r/>
      <w:bookmarkStart w:id="559" w:name="_Ref467306377"/>
      <w:r/>
      <w:bookmarkStart w:id="560" w:name="_Toc164351644"/>
      <w:r/>
      <w:bookmarkStart w:id="561" w:name="_Ref467306978"/>
      <w:r/>
      <w:bookmarkStart w:id="562" w:name="_Toc164229391"/>
      <w:r/>
      <w:bookmarkStart w:id="563" w:name="_Toc151193792"/>
      <w:r/>
      <w:bookmarkStart w:id="564" w:name="_Toc226965823"/>
      <w:r/>
      <w:bookmarkStart w:id="565" w:name="_Toc151193720"/>
      <w:r/>
      <w:bookmarkStart w:id="566" w:name="_Toc520356175"/>
      <w:r/>
      <w:bookmarkStart w:id="567" w:name="_Toc164608819"/>
      <w:r/>
      <w:bookmarkStart w:id="568" w:name="_Toc127151550"/>
      <w:r/>
      <w:bookmarkStart w:id="569" w:name="_Ref467307204"/>
      <w:r/>
      <w:bookmarkStart w:id="570" w:name="_Toc151190177"/>
      <w:r/>
      <w:bookmarkStart w:id="571" w:name="_Toc150774650"/>
      <w:r/>
      <w:bookmarkStart w:id="572" w:name="_Toc151193648"/>
      <w:r/>
      <w:bookmarkStart w:id="573" w:name="_Toc127161464"/>
      <w:r/>
      <w:bookmarkStart w:id="574" w:name="_Toc305158892"/>
      <w:r/>
      <w:bookmarkStart w:id="575" w:name="_Toc226337246"/>
      <w:r/>
      <w:bookmarkStart w:id="576" w:name="_Toc150509301"/>
      <w:r/>
      <w:bookmarkStart w:id="577" w:name="_Toc226309794"/>
      <w:r/>
      <w:bookmarkStart w:id="578" w:name="_Toc195842915"/>
      <w:r/>
      <w:bookmarkStart w:id="579" w:name="_Toc151193938"/>
      <w:r>
        <w:rPr>
          <w:color w:val="000000"/>
          <w:sz w:val="24"/>
          <w:highlight w:val="none"/>
        </w:rPr>
        <w:t xml:space="preserve">签订合同</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22"/>
      <w:r/>
      <w:bookmarkEnd w:id="523"/>
      <w:r/>
      <w:bookmarkEnd w:id="524"/>
      <w:r>
        <w:rPr>
          <w:color w:val="000000"/>
          <w:sz w:val="24"/>
          <w:highlight w:val="none"/>
        </w:rPr>
        <w:t xml:space="preserve">询问与质疑</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200"/>
          <w:color w:val="000000"/>
          <w:highlight w:val="none"/>
        </w:rPr>
        <w:t xml:space="preserve">http://gk</w:t>
      </w:r>
      <w:bookmarkStart w:id="580" w:name="_Hlt100654014"/>
      <w:r>
        <w:rPr>
          <w:rStyle w:val="1200"/>
          <w:color w:val="000000"/>
          <w:highlight w:val="none"/>
        </w:rPr>
        <w:t xml:space="preserve">s</w:t>
      </w:r>
      <w:bookmarkEnd w:id="580"/>
      <w:r>
        <w:rPr>
          <w:rStyle w:val="1200"/>
          <w:color w:val="000000"/>
          <w:highlight w:val="none"/>
        </w:rPr>
        <w:t xml:space="preserve">.m</w:t>
      </w:r>
      <w:bookmarkStart w:id="581" w:name="_Hlt100653994"/>
      <w:r/>
      <w:bookmarkStart w:id="582" w:name="_Hlt100653993"/>
      <w:r>
        <w:rPr>
          <w:rStyle w:val="1200"/>
          <w:color w:val="000000"/>
          <w:highlight w:val="none"/>
        </w:rPr>
        <w:t xml:space="preserve">o</w:t>
      </w:r>
      <w:bookmarkEnd w:id="581"/>
      <w:r/>
      <w:bookmarkEnd w:id="582"/>
      <w:r/>
      <w:bookmarkStart w:id="583" w:name="_Hlt101169156"/>
      <w:r>
        <w:rPr>
          <w:rStyle w:val="1200"/>
          <w:color w:val="000000"/>
          <w:highlight w:val="none"/>
        </w:rPr>
        <w:t xml:space="preserve">f</w:t>
      </w:r>
      <w:bookmarkEnd w:id="583"/>
      <w:r>
        <w:rPr>
          <w:rStyle w:val="1200"/>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sectPr>
          <w:footerReference w:type="even" r:id="rId21"/>
          <w:footnotePr/>
          <w:endnotePr/>
          <w:type w:val="nextPage"/>
          <w:pgSz w:w="11907" w:h="16840" w:orient="portrait"/>
          <w:pgMar w:top="1440" w:right="1304" w:bottom="1440" w:left="1304" w:header="851" w:footer="851" w:gutter="0"/>
          <w:pgNumType w:start="1"/>
          <w:cols w:num="1" w:sep="0" w:space="1701" w:equalWidth="1"/>
          <w:docGrid w:linePitch="360"/>
        </w:sectPr>
      </w:pPr>
      <w:r/>
      <w:bookmarkStart w:id="584" w:name="_Toc353873934"/>
      <w:r/>
      <w:bookmarkStart w:id="585" w:name="_Toc150774759"/>
      <w:r/>
      <w:bookmarkStart w:id="586" w:name="_Toc305158896"/>
      <w:r/>
      <w:bookmarkStart w:id="587" w:name="_Toc142311056"/>
      <w:r/>
      <w:bookmarkStart w:id="588" w:name="_Toc353825544"/>
      <w:r/>
      <w:bookmarkStart w:id="589" w:name="_Toc264969244"/>
      <w:r/>
      <w:bookmarkStart w:id="590" w:name="_Toc265228392"/>
      <w:r/>
      <w:bookmarkStart w:id="591" w:name="_Toc226965827"/>
      <w:r/>
      <w:bookmarkStart w:id="592" w:name="_Toc150480792"/>
      <w:r/>
      <w:bookmarkStart w:id="593" w:name="_Toc305158822"/>
      <w:r/>
      <w:bookmarkStart w:id="594" w:name="_Toc353873664"/>
      <w:r/>
      <w:bookmarkStart w:id="595" w:name="_Toc127151554"/>
      <w:r/>
      <w:bookmarkStart w:id="596" w:name="_Toc226337250"/>
      <w:r>
        <w:rPr>
          <w:color w:val="000000"/>
          <w:sz w:val="24"/>
          <w:highlight w:val="none"/>
        </w:rPr>
      </w:r>
      <w:r/>
    </w:p>
    <w:p>
      <w:pPr>
        <w:pStyle w:val="1122"/>
        <w:numPr>
          <w:ilvl w:val="0"/>
          <w:numId w:val="11"/>
        </w:numPr>
        <w:jc w:val="center"/>
        <w:spacing w:line="360" w:lineRule="auto"/>
        <w:rPr>
          <w:b/>
          <w:color w:val="000000"/>
          <w:sz w:val="36"/>
          <w:szCs w:val="36"/>
          <w:highlight w:val="none"/>
        </w:rPr>
        <w:outlineLvl w:val="0"/>
      </w:pPr>
      <w:r>
        <w:rPr>
          <w:b/>
          <w:color w:val="000000"/>
          <w:sz w:val="36"/>
          <w:szCs w:val="36"/>
          <w:highlight w:val="none"/>
        </w:rPr>
        <w:t xml:space="preserve">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Start w:id="597" w:name="_Toc2679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7"/>
      <w:r/>
      <w:bookmarkStart w:id="598" w:name="_Toc487900382"/>
      <w:r>
        <w:rPr>
          <w:b/>
          <w:color w:val="000000"/>
          <w:sz w:val="36"/>
          <w:szCs w:val="36"/>
          <w:highlight w:val="none"/>
        </w:rPr>
      </w:r>
      <w:r/>
    </w:p>
    <w:p>
      <w:pPr>
        <w:pStyle w:val="1124"/>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1122"/>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1122"/>
        <w:numPr>
          <w:ilvl w:val="0"/>
          <w:numId w:val="12"/>
        </w:numPr>
        <w:spacing w:line="360" w:lineRule="auto"/>
        <w:tabs>
          <w:tab w:val="left" w:pos="360" w:leader="none"/>
          <w:tab w:val="left" w:pos="900" w:leader="none"/>
        </w:tabs>
        <w:rPr>
          <w:color w:val="000000"/>
          <w:sz w:val="24"/>
          <w:highlight w:val="none"/>
        </w:rPr>
        <w:outlineLvl w:val="1"/>
      </w:p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598"/>
      <w:r/>
      <w:bookmarkStart w:id="599" w:name="_Toc226337237"/>
      <w:r/>
      <w:bookmarkStart w:id="600" w:name="_Toc150509292"/>
      <w:r/>
      <w:bookmarkStart w:id="601" w:name="_Toc164608655"/>
      <w:r/>
      <w:bookmarkStart w:id="602" w:name="_Toc151193711"/>
      <w:r/>
      <w:bookmarkStart w:id="603" w:name="_Toc150480779"/>
      <w:r/>
      <w:bookmarkStart w:id="604" w:name="_Toc142311043"/>
      <w:r/>
      <w:bookmarkStart w:id="605" w:name="_Toc151193855"/>
      <w:r/>
      <w:bookmarkStart w:id="606" w:name="_Toc164608810"/>
      <w:r/>
      <w:bookmarkStart w:id="607" w:name="_Toc305158883"/>
      <w:r/>
      <w:bookmarkStart w:id="608" w:name="_Toc127161455"/>
      <w:r/>
      <w:bookmarkStart w:id="609" w:name="_Toc149720834"/>
      <w:r/>
      <w:bookmarkStart w:id="610" w:name="_Toc151193639"/>
      <w:r/>
      <w:bookmarkStart w:id="611" w:name="_Toc164229236"/>
      <w:r/>
      <w:bookmarkStart w:id="612" w:name="_Toc226965731"/>
      <w:r/>
      <w:bookmarkStart w:id="613" w:name="_Toc150774641"/>
      <w:r/>
      <w:bookmarkStart w:id="614" w:name="_Toc305158809"/>
      <w:r/>
      <w:bookmarkStart w:id="615" w:name="_Toc127151742"/>
      <w:r/>
      <w:bookmarkStart w:id="616" w:name="_Toc164351635"/>
      <w:r/>
      <w:bookmarkStart w:id="617" w:name="_Toc150774746"/>
      <w:r/>
      <w:bookmarkStart w:id="618" w:name="_Toc127151541"/>
      <w:r/>
      <w:bookmarkStart w:id="619" w:name="_Toc226965814"/>
      <w:r/>
      <w:bookmarkStart w:id="620" w:name="_Toc151193929"/>
      <w:r/>
      <w:bookmarkStart w:id="621" w:name="_Toc151193783"/>
      <w:r/>
      <w:bookmarkStart w:id="622" w:name="_Toc264969231"/>
      <w:r/>
      <w:bookmarkStart w:id="623" w:name="_Toc164229382"/>
      <w:r/>
      <w:bookmarkStart w:id="624" w:name="_Toc151190168"/>
      <w:r/>
      <w:bookmarkStart w:id="625" w:name="_Toc265228379"/>
      <w:r/>
      <w:bookmarkStart w:id="626" w:name="_Toc226309785"/>
      <w:r/>
      <w:bookmarkStart w:id="627" w:name="_Toc195842906"/>
      <w:r/>
      <w:bookmarkStart w:id="628" w:name="_Toc195842920"/>
      <w:r/>
      <w:bookmarkStart w:id="629" w:name="_Toc353825551"/>
      <w:r/>
      <w:bookmarkStart w:id="630" w:name="_Toc353873941"/>
      <w:r/>
      <w:bookmarkStart w:id="631" w:name="_Toc150774760"/>
      <w:r/>
      <w:bookmarkStart w:id="632" w:name="_Toc226965828"/>
      <w:r/>
      <w:bookmarkStart w:id="633" w:name="_Toc305158897"/>
      <w:r/>
      <w:bookmarkStart w:id="634" w:name="_Toc264969245"/>
      <w:r/>
      <w:bookmarkStart w:id="635" w:name="_Toc127151555"/>
      <w:r/>
      <w:bookmarkStart w:id="636" w:name="_Toc305158823"/>
      <w:r/>
      <w:bookmarkStart w:id="637" w:name="_Toc353873665"/>
      <w:r/>
      <w:bookmarkStart w:id="638" w:name="_Toc150480793"/>
      <w:r/>
      <w:bookmarkStart w:id="639" w:name="_Toc265228393"/>
      <w:r/>
      <w:bookmarkStart w:id="640" w:name="_Toc226337251"/>
      <w:r/>
      <w:bookmarkStart w:id="641" w:name="_Toc353825545"/>
      <w:r/>
      <w:bookmarkStart w:id="642" w:name="_Toc142311057"/>
      <w:r/>
      <w:bookmarkStart w:id="643" w:name="_Toc353873935"/>
      <w:r>
        <w:rPr>
          <w:color w:val="000000"/>
          <w:sz w:val="24"/>
          <w:highlight w:val="none"/>
        </w:rPr>
        <w:t xml:space="preserve">响应文件的</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color w:val="000000"/>
          <w:sz w:val="24"/>
          <w:highlight w:val="none"/>
        </w:rPr>
        <w:t xml:space="preserve">资格性检查和符合性审查</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1122"/>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163" w:type="pct"/>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886"/>
        <w:gridCol w:w="5405"/>
        <w:gridCol w:w="1498"/>
      </w:tblGrid>
      <w:tr>
        <w:trPr>
          <w:cantSplit/>
          <w:trHeight w:val="20"/>
          <w:tblHeader/>
        </w:trPr>
        <w:tc>
          <w:tcPr>
            <w:tcW w:w="418" w:type="dxa"/>
            <w:vAlign w:val="center"/>
            <w:textDirection w:val="lrTb"/>
            <w:noWrap w:val="false"/>
          </w:tcPr>
          <w:p>
            <w:pPr>
              <w:pStyle w:val="1122"/>
              <w:jc w:val="center"/>
              <w:tabs>
                <w:tab w:val="left" w:pos="1080" w:leader="none"/>
              </w:tabs>
              <w:rPr>
                <w:b/>
                <w:color w:val="000000"/>
                <w:sz w:val="24"/>
                <w:highlight w:val="none"/>
              </w:rPr>
            </w:pPr>
            <w:r/>
            <w:bookmarkStart w:id="644" w:name="_Hlt487972895"/>
            <w:r/>
            <w:bookmarkEnd w:id="644"/>
            <w:r>
              <w:rPr>
                <w:b/>
                <w:color w:val="000000"/>
                <w:sz w:val="24"/>
                <w:highlight w:val="none"/>
              </w:rPr>
              <w:t xml:space="preserve">序号</w:t>
            </w:r>
            <w:r>
              <w:rPr>
                <w:b/>
                <w:color w:val="000000"/>
                <w:sz w:val="24"/>
                <w:highlight w:val="none"/>
              </w:rPr>
            </w:r>
            <w:r/>
          </w:p>
        </w:tc>
        <w:tc>
          <w:tcPr>
            <w:tcW w:w="983" w:type="dxa"/>
            <w:vAlign w:val="center"/>
            <w:textDirection w:val="lrTb"/>
            <w:noWrap w:val="false"/>
          </w:tcPr>
          <w:p>
            <w:pPr>
              <w:pStyle w:val="1122"/>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817" w:type="dxa"/>
            <w:vAlign w:val="center"/>
            <w:textDirection w:val="lrTb"/>
            <w:noWrap w:val="false"/>
          </w:tcPr>
          <w:p>
            <w:pPr>
              <w:pStyle w:val="1122"/>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780" w:type="dxa"/>
            <w:vAlign w:val="center"/>
            <w:textDirection w:val="lrTb"/>
            <w:noWrap w:val="false"/>
          </w:tcPr>
          <w:p>
            <w:pPr>
              <w:pStyle w:val="1122"/>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418" w:type="dxa"/>
            <w:vAlign w:val="center"/>
            <w:textDirection w:val="lrTb"/>
            <w:noWrap w:val="false"/>
          </w:tcPr>
          <w:p>
            <w:pPr>
              <w:pStyle w:val="1122"/>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817" w:type="dxa"/>
            <w:vAlign w:val="center"/>
            <w:textDirection w:val="lrTb"/>
            <w:noWrap w:val="false"/>
          </w:tcPr>
          <w:p>
            <w:pPr>
              <w:pStyle w:val="1122"/>
              <w:tabs>
                <w:tab w:val="left" w:pos="1080" w:leader="none"/>
              </w:tabs>
              <w:rPr>
                <w:rFonts w:hint="eastAsia"/>
                <w:color w:val="000000"/>
                <w:sz w:val="24"/>
                <w:highlight w:val="none"/>
              </w:rPr>
            </w:pPr>
            <w:r>
              <w:rPr>
                <w:color w:val="000000"/>
                <w:sz w:val="24"/>
                <w:highlight w:val="none"/>
              </w:rPr>
              <w:t xml:space="preserve">具体规定见第一章《采购邀请》</w:t>
            </w:r>
            <w:r>
              <w:rPr>
                <w:rFonts w:hint="eastAsia"/>
                <w:color w:val="000000"/>
                <w:sz w:val="24"/>
                <w:highlight w:val="none"/>
              </w:rPr>
              <w:t xml:space="preserve">。</w:t>
            </w:r>
            <w:r>
              <w:rPr>
                <w:rFonts w:hint="eastAsia"/>
                <w:color w:val="000000"/>
                <w:sz w:val="24"/>
                <w:highlight w:val="none"/>
              </w:rPr>
            </w:r>
            <w:r/>
          </w:p>
        </w:tc>
        <w:tc>
          <w:tcPr>
            <w:tcW w:w="780" w:type="dxa"/>
            <w:vAlign w:val="center"/>
            <w:textDirection w:val="lrTb"/>
            <w:noWrap w:val="false"/>
          </w:tcPr>
          <w:p>
            <w:pPr>
              <w:pStyle w:val="1122"/>
              <w:tabs>
                <w:tab w:val="left" w:pos="1080" w:leader="none"/>
              </w:tabs>
              <w:rPr>
                <w:color w:val="000000"/>
                <w:sz w:val="24"/>
                <w:highlight w:val="none"/>
              </w:rPr>
            </w:pPr>
            <w:r>
              <w:rPr>
                <w:color w:val="000000"/>
                <w:sz w:val="24"/>
                <w:highlight w:val="none"/>
              </w:rPr>
            </w:r>
            <w:r/>
          </w:p>
        </w:tc>
      </w:tr>
      <w:tr>
        <w:trPr>
          <w:cantSplit/>
          <w:trHeight w:val="468"/>
        </w:trPr>
        <w:tc>
          <w:tcPr>
            <w:tcW w:w="418" w:type="dxa"/>
            <w:vAlign w:val="center"/>
            <w:textDirection w:val="lrTb"/>
            <w:noWrap w:val="false"/>
          </w:tcPr>
          <w:p>
            <w:pPr>
              <w:pStyle w:val="1122"/>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817"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780" w:type="dxa"/>
            <w:vAlign w:val="center"/>
            <w:textDirection w:val="lrTb"/>
            <w:noWrap w:val="false"/>
          </w:tcPr>
          <w:p>
            <w:pPr>
              <w:pStyle w:val="1122"/>
              <w:tabs>
                <w:tab w:val="left" w:pos="1080" w:leader="none"/>
              </w:tabs>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rFonts w:hint="eastAsia"/>
                <w:color w:val="000000"/>
                <w:sz w:val="24"/>
                <w:highlight w:val="none"/>
              </w:rPr>
              <w:t xml:space="preserve">。</w:t>
            </w:r>
            <w:r>
              <w:rPr>
                <w:rFonts w:hint="eastAsia"/>
                <w:color w:val="000000"/>
                <w:sz w:val="24"/>
                <w:highlight w:val="none"/>
              </w:rPr>
            </w:r>
            <w:r/>
          </w:p>
        </w:tc>
      </w:tr>
      <w:tr>
        <w:trPr>
          <w:cantSplit/>
          <w:trHeight w:val="20"/>
        </w:trPr>
        <w:tc>
          <w:tcPr>
            <w:tcW w:w="418" w:type="dxa"/>
            <w:vAlign w:val="center"/>
            <w:textDirection w:val="lrTb"/>
            <w:noWrap w:val="false"/>
          </w:tcPr>
          <w:p>
            <w:pPr>
              <w:pStyle w:val="1122"/>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817" w:type="dxa"/>
            <w:vAlign w:val="center"/>
            <w:textDirection w:val="lrTb"/>
            <w:noWrap w:val="false"/>
          </w:tcPr>
          <w:p>
            <w:pPr>
              <w:pStyle w:val="1122"/>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1122"/>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1122"/>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122"/>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780"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r>
      <w:tr>
        <w:trPr>
          <w:cantSplit/>
          <w:trHeight w:val="20"/>
        </w:trPr>
        <w:tc>
          <w:tcPr>
            <w:tcW w:w="418" w:type="dxa"/>
            <w:vAlign w:val="center"/>
            <w:textDirection w:val="lrTb"/>
            <w:noWrap w:val="false"/>
          </w:tcPr>
          <w:p>
            <w:pPr>
              <w:pStyle w:val="1122"/>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817" w:type="dxa"/>
            <w:vAlign w:val="center"/>
            <w:textDirection w:val="lrTb"/>
            <w:noWrap w:val="false"/>
          </w:tcPr>
          <w:p>
            <w:pPr>
              <w:pStyle w:val="1122"/>
              <w:tabs>
                <w:tab w:val="left" w:pos="1080" w:leader="none"/>
              </w:tabs>
              <w:rPr>
                <w:rFonts w:hint="eastAsia"/>
                <w:color w:val="000000"/>
                <w:sz w:val="24"/>
                <w:highlight w:val="none"/>
              </w:rPr>
            </w:pPr>
            <w:r>
              <w:rPr>
                <w:color w:val="000000"/>
                <w:sz w:val="24"/>
                <w:highlight w:val="none"/>
              </w:rPr>
              <w:t xml:space="preserve">具体要求见第一章《采购邀请》</w:t>
            </w:r>
            <w:r>
              <w:rPr>
                <w:rFonts w:hint="eastAsia"/>
                <w:color w:val="000000"/>
                <w:sz w:val="24"/>
                <w:highlight w:val="none"/>
              </w:rPr>
              <w:t xml:space="preserve">。</w:t>
            </w:r>
            <w:r>
              <w:rPr>
                <w:rFonts w:hint="eastAsia"/>
                <w:color w:val="000000"/>
                <w:sz w:val="24"/>
                <w:highlight w:val="none"/>
              </w:rPr>
            </w:r>
            <w:r/>
          </w:p>
        </w:tc>
        <w:tc>
          <w:tcPr>
            <w:tcW w:w="780" w:type="dxa"/>
            <w:vAlign w:val="center"/>
            <w:textDirection w:val="lrTb"/>
            <w:noWrap w:val="false"/>
          </w:tcPr>
          <w:p>
            <w:pPr>
              <w:pStyle w:val="1122"/>
              <w:tabs>
                <w:tab w:val="left" w:pos="1080" w:leader="none"/>
              </w:tabs>
              <w:rPr>
                <w:color w:val="000000"/>
                <w:sz w:val="24"/>
                <w:highlight w:val="none"/>
              </w:rPr>
            </w:pPr>
            <w:r>
              <w:rPr>
                <w:color w:val="000000"/>
                <w:sz w:val="24"/>
                <w:highlight w:val="none"/>
              </w:rPr>
            </w:r>
            <w:r/>
          </w:p>
        </w:tc>
      </w:tr>
      <w:tr>
        <w:trPr>
          <w:cantSplit/>
          <w:trHeight w:val="20"/>
        </w:trPr>
        <w:tc>
          <w:tcPr>
            <w:tcW w:w="418" w:type="dxa"/>
            <w:vAlign w:val="center"/>
            <w:textDirection w:val="lrTb"/>
            <w:noWrap w:val="false"/>
          </w:tcPr>
          <w:p>
            <w:pPr>
              <w:pStyle w:val="1122"/>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817" w:type="dxa"/>
            <w:vAlign w:val="center"/>
            <w:textDirection w:val="lrTb"/>
            <w:noWrap w:val="false"/>
          </w:tcPr>
          <w:p>
            <w:pPr>
              <w:pStyle w:val="1122"/>
              <w:tabs>
                <w:tab w:val="left" w:pos="1080" w:leader="none"/>
              </w:tabs>
              <w:rPr>
                <w:bCs/>
                <w:color w:val="000000"/>
                <w:sz w:val="24"/>
                <w:highlight w:val="none"/>
              </w:rPr>
            </w:pPr>
            <w:r>
              <w:rPr>
                <w:rFonts w:hint="eastAsia"/>
                <w:bCs/>
                <w:color w:val="000000"/>
                <w:sz w:val="24"/>
                <w:highlight w:val="none"/>
              </w:rPr>
              <w:t xml:space="preserve">1、供应商单独参与磋商的，应提供中小企业声明函；如为监狱企业或残疾人福利性单位，不必提供中小企业声明函，但须按注1或注2要求提供证明材料。</w:t>
            </w:r>
            <w:r>
              <w:rPr>
                <w:bCs/>
                <w:color w:val="000000"/>
                <w:sz w:val="24"/>
                <w:highlight w:val="none"/>
              </w:rPr>
            </w:r>
            <w:r/>
          </w:p>
          <w:p>
            <w:pPr>
              <w:pStyle w:val="1122"/>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highlight w:val="none"/>
              </w:rPr>
            </w:r>
            <w:r/>
          </w:p>
          <w:p>
            <w:pPr>
              <w:pStyle w:val="1122"/>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rPr>
                <w:bCs/>
                <w:color w:val="000000"/>
                <w:sz w:val="24"/>
                <w:highlight w:val="none"/>
              </w:rPr>
            </w:r>
            <w:r/>
          </w:p>
          <w:p>
            <w:pPr>
              <w:pStyle w:val="1122"/>
              <w:tabs>
                <w:tab w:val="left" w:pos="1080" w:leader="none"/>
              </w:tabs>
              <w:rPr>
                <w:color w:val="000000"/>
                <w:sz w:val="24"/>
                <w:highlight w:val="none"/>
              </w:rPr>
            </w:pPr>
            <w:r>
              <w:rPr>
                <w:rFonts w:hint="eastAsia"/>
                <w:bCs/>
                <w:color w:val="000000"/>
                <w:sz w:val="24"/>
                <w:highlight w:val="none"/>
              </w:rPr>
              <w:t xml:space="preserve">注2：残疾人福利性单位须按磋商文件要求提供《残疾人福利性单位声明函》。</w:t>
            </w:r>
            <w:r>
              <w:rPr>
                <w:color w:val="000000"/>
                <w:sz w:val="24"/>
                <w:highlight w:val="none"/>
              </w:rPr>
            </w:r>
            <w:r/>
          </w:p>
        </w:tc>
        <w:tc>
          <w:tcPr>
            <w:tcW w:w="780"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格式见《响应文件格式》</w:t>
            </w:r>
            <w:r>
              <w:rPr>
                <w:color w:val="000000"/>
                <w:sz w:val="24"/>
                <w:highlight w:val="none"/>
              </w:rPr>
            </w:r>
            <w:r/>
          </w:p>
        </w:tc>
      </w:tr>
      <w:tr>
        <w:trPr>
          <w:cantSplit/>
          <w:trHeight w:val="20"/>
        </w:trPr>
        <w:tc>
          <w:tcPr>
            <w:tcW w:w="418" w:type="dxa"/>
            <w:vAlign w:val="center"/>
            <w:textDirection w:val="lrTb"/>
            <w:noWrap w:val="false"/>
          </w:tcPr>
          <w:p>
            <w:pPr>
              <w:pStyle w:val="1122"/>
              <w:jc w:val="center"/>
              <w:tabs>
                <w:tab w:val="left" w:pos="1080" w:leader="none"/>
              </w:tabs>
              <w:rPr>
                <w:rFonts w:hint="eastAsia"/>
                <w:color w:val="000000"/>
                <w:sz w:val="24"/>
                <w:highlight w:val="none"/>
              </w:rPr>
            </w:pPr>
            <w:r>
              <w:rPr>
                <w:color w:val="000000"/>
                <w:sz w:val="24"/>
                <w:highlight w:val="none"/>
              </w:rPr>
              <w:t xml:space="preserve">2-</w:t>
            </w:r>
            <w:r>
              <w:rPr>
                <w:rFonts w:hint="eastAsia"/>
                <w:color w:val="000000"/>
                <w:sz w:val="24"/>
                <w:highlight w:val="none"/>
              </w:rPr>
              <w:t xml:space="preserve">2</w:t>
            </w:r>
            <w:r>
              <w:rPr>
                <w:rFonts w:hint="eastAsia"/>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817" w:type="dxa"/>
            <w:vAlign w:val="center"/>
            <w:textDirection w:val="lrTb"/>
            <w:noWrap w:val="false"/>
          </w:tcPr>
          <w:p>
            <w:pPr>
              <w:pStyle w:val="1122"/>
              <w:tabs>
                <w:tab w:val="left" w:pos="1080" w:leader="none"/>
              </w:tabs>
              <w:rPr>
                <w:rFonts w:hint="eastAsia"/>
                <w:color w:val="000000"/>
                <w:sz w:val="24"/>
                <w:highlight w:val="none"/>
              </w:rPr>
            </w:pPr>
            <w:r>
              <w:rPr>
                <w:color w:val="000000"/>
                <w:sz w:val="24"/>
                <w:highlight w:val="none"/>
              </w:rPr>
              <w:t xml:space="preserve">如有，见第一章《采购邀请》</w:t>
            </w:r>
            <w:r>
              <w:rPr>
                <w:rFonts w:hint="eastAsia"/>
                <w:color w:val="000000"/>
                <w:sz w:val="24"/>
                <w:highlight w:val="none"/>
              </w:rPr>
              <w:t xml:space="preserve">。</w:t>
            </w:r>
            <w:r>
              <w:rPr>
                <w:rFonts w:hint="eastAsia"/>
                <w:color w:val="000000"/>
                <w:sz w:val="24"/>
                <w:highlight w:val="none"/>
              </w:rPr>
            </w:r>
            <w:r/>
          </w:p>
        </w:tc>
        <w:tc>
          <w:tcPr>
            <w:tcW w:w="780" w:type="dxa"/>
            <w:vAlign w:val="center"/>
            <w:textDirection w:val="lrTb"/>
            <w:noWrap w:val="false"/>
          </w:tcPr>
          <w:p>
            <w:pPr>
              <w:pStyle w:val="1122"/>
              <w:rPr>
                <w:rFonts w:hint="eastAsia"/>
                <w:color w:val="000000"/>
                <w:highlight w:val="none"/>
              </w:rPr>
            </w:pPr>
            <w:r>
              <w:rPr>
                <w:color w:val="000000"/>
                <w:sz w:val="24"/>
                <w:highlight w:val="none"/>
              </w:rPr>
              <w:t xml:space="preserve">提供证明文件的电子件或电子证照</w:t>
            </w:r>
            <w:r>
              <w:rPr>
                <w:rFonts w:hint="eastAsia"/>
                <w:color w:val="000000"/>
                <w:sz w:val="24"/>
                <w:highlight w:val="none"/>
              </w:rPr>
              <w:t xml:space="preserve">。</w:t>
            </w:r>
            <w:r>
              <w:rPr>
                <w:rFonts w:hint="eastAsia"/>
                <w:color w:val="000000"/>
                <w:highlight w:val="none"/>
              </w:rPr>
            </w:r>
            <w:r/>
          </w:p>
        </w:tc>
      </w:tr>
      <w:tr>
        <w:trPr>
          <w:cantSplit/>
          <w:trHeight w:val="20"/>
        </w:trPr>
        <w:tc>
          <w:tcPr>
            <w:tcW w:w="418" w:type="dxa"/>
            <w:vAlign w:val="center"/>
            <w:textDirection w:val="lrTb"/>
            <w:noWrap w:val="false"/>
          </w:tcPr>
          <w:p>
            <w:pPr>
              <w:pStyle w:val="1122"/>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817" w:type="dxa"/>
            <w:vAlign w:val="center"/>
            <w:textDirection w:val="lrTb"/>
            <w:noWrap w:val="false"/>
          </w:tcPr>
          <w:p>
            <w:pPr>
              <w:pStyle w:val="1122"/>
              <w:tabs>
                <w:tab w:val="left" w:pos="1080" w:leader="none"/>
              </w:tabs>
              <w:rPr>
                <w:rFonts w:hint="eastAsia"/>
                <w:color w:val="000000"/>
                <w:sz w:val="24"/>
                <w:highlight w:val="none"/>
              </w:rPr>
            </w:pPr>
            <w:r>
              <w:rPr>
                <w:color w:val="000000"/>
                <w:sz w:val="24"/>
                <w:highlight w:val="none"/>
              </w:rPr>
              <w:t xml:space="preserve">如有，见第一章《采购邀请》</w:t>
            </w:r>
            <w:r>
              <w:rPr>
                <w:rFonts w:hint="eastAsia"/>
                <w:color w:val="000000"/>
                <w:sz w:val="24"/>
                <w:highlight w:val="none"/>
              </w:rPr>
              <w:t xml:space="preserve">。</w:t>
            </w:r>
            <w:r>
              <w:rPr>
                <w:rFonts w:hint="eastAsia"/>
                <w:color w:val="000000"/>
                <w:sz w:val="24"/>
                <w:highlight w:val="none"/>
              </w:rPr>
            </w:r>
            <w:r/>
          </w:p>
        </w:tc>
        <w:tc>
          <w:tcPr>
            <w:tcW w:w="780" w:type="dxa"/>
            <w:vAlign w:val="center"/>
            <w:textDirection w:val="lrTb"/>
            <w:noWrap w:val="false"/>
          </w:tcPr>
          <w:p>
            <w:pPr>
              <w:pStyle w:val="1122"/>
              <w:rPr>
                <w:color w:val="000000"/>
                <w:highlight w:val="none"/>
              </w:rPr>
            </w:pPr>
            <w:r>
              <w:rPr>
                <w:color w:val="000000"/>
                <w:highlight w:val="none"/>
              </w:rPr>
            </w:r>
            <w:r/>
          </w:p>
        </w:tc>
      </w:tr>
      <w:tr>
        <w:trPr>
          <w:cantSplit/>
          <w:trHeight w:val="20"/>
        </w:trPr>
        <w:tc>
          <w:tcPr>
            <w:tcW w:w="418" w:type="dxa"/>
            <w:vAlign w:val="center"/>
            <w:textDirection w:val="lrTb"/>
            <w:noWrap w:val="false"/>
          </w:tcPr>
          <w:p>
            <w:pPr>
              <w:pStyle w:val="1122"/>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817" w:type="dxa"/>
            <w:vAlign w:val="center"/>
            <w:textDirection w:val="lrTb"/>
            <w:noWrap w:val="false"/>
          </w:tcPr>
          <w:p>
            <w:pPr>
              <w:pStyle w:val="1122"/>
              <w:tabs>
                <w:tab w:val="left" w:pos="1080" w:leader="none"/>
              </w:tabs>
              <w:rPr>
                <w:color w:val="000000"/>
                <w:sz w:val="24"/>
                <w:highlight w:val="none"/>
              </w:rPr>
            </w:pPr>
            <w:r>
              <w:rPr>
                <w:rFonts w:hint="eastAsia"/>
                <w:color w:val="000000"/>
                <w:sz w:val="24"/>
                <w:highlight w:val="none"/>
              </w:rPr>
              <w:t xml:space="preserve">本项目不接受联合体响应。</w:t>
            </w:r>
            <w:r>
              <w:rPr>
                <w:color w:val="000000"/>
                <w:sz w:val="24"/>
                <w:highlight w:val="none"/>
              </w:rPr>
            </w:r>
            <w:r/>
          </w:p>
        </w:tc>
        <w:tc>
          <w:tcPr>
            <w:tcW w:w="780" w:type="dxa"/>
            <w:vAlign w:val="center"/>
            <w:textDirection w:val="lrTb"/>
            <w:noWrap w:val="false"/>
          </w:tcPr>
          <w:p>
            <w:pPr>
              <w:pStyle w:val="1122"/>
              <w:rPr>
                <w:color w:val="000000"/>
                <w:highlight w:val="none"/>
              </w:rPr>
            </w:pPr>
            <w:r>
              <w:rPr>
                <w:color w:val="000000"/>
                <w:highlight w:val="none"/>
              </w:rPr>
            </w:r>
            <w:r/>
          </w:p>
        </w:tc>
      </w:tr>
      <w:tr>
        <w:trPr>
          <w:cantSplit/>
          <w:trHeight w:val="20"/>
        </w:trPr>
        <w:tc>
          <w:tcPr>
            <w:tcW w:w="418" w:type="dxa"/>
            <w:vAlign w:val="center"/>
            <w:textDirection w:val="lrTb"/>
            <w:noWrap w:val="false"/>
          </w:tcPr>
          <w:p>
            <w:pPr>
              <w:pStyle w:val="1122"/>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983" w:type="dxa"/>
            <w:vAlign w:val="center"/>
            <w:textDirection w:val="lrTb"/>
            <w:noWrap w:val="false"/>
          </w:tcPr>
          <w:p>
            <w:pPr>
              <w:pStyle w:val="1122"/>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817" w:type="dxa"/>
            <w:vAlign w:val="center"/>
            <w:textDirection w:val="lrTb"/>
            <w:noWrap w:val="false"/>
          </w:tcPr>
          <w:p>
            <w:pPr>
              <w:pStyle w:val="1122"/>
              <w:tabs>
                <w:tab w:val="left" w:pos="1080" w:leader="none"/>
              </w:tabs>
              <w:rPr>
                <w:rFonts w:hint="eastAsia" w:eastAsia="宋体"/>
                <w:b/>
                <w:color w:val="000000"/>
                <w:sz w:val="24"/>
                <w:highlight w:val="none"/>
                <w:lang w:val="en-US" w:eastAsia="zh-CN"/>
              </w:rPr>
            </w:pPr>
            <w:r>
              <w:rPr>
                <w:rFonts w:hint="eastAsia" w:ascii="Times New Roman" w:hAnsi="Times New Roman" w:eastAsia="宋体" w:cs="Times New Roman"/>
                <w:b/>
                <w:bCs w:val="0"/>
                <w:color w:val="000000"/>
                <w:sz w:val="24"/>
                <w:highlight w:val="none"/>
                <w:lang w:val="en-US" w:eastAsia="zh-CN"/>
              </w:rPr>
              <w:t xml:space="preserve">供应商须提供中华人民共和国道路运输经营许可证，经营范围须包含省际/市际包车客运或旅游客运。</w:t>
            </w:r>
            <w:r>
              <w:rPr>
                <w:rFonts w:hint="eastAsia" w:eastAsia="宋体"/>
                <w:b/>
                <w:color w:val="000000"/>
                <w:sz w:val="24"/>
                <w:highlight w:val="none"/>
                <w:lang w:val="en-US" w:eastAsia="zh-CN"/>
              </w:rPr>
            </w:r>
            <w:r/>
          </w:p>
        </w:tc>
        <w:tc>
          <w:tcPr>
            <w:tcW w:w="780" w:type="dxa"/>
            <w:vAlign w:val="center"/>
            <w:textDirection w:val="lrTb"/>
            <w:noWrap w:val="false"/>
          </w:tcPr>
          <w:p>
            <w:pPr>
              <w:pStyle w:val="1122"/>
              <w:rPr>
                <w:rFonts w:hint="eastAsia"/>
                <w:color w:val="000000"/>
                <w:highlight w:val="none"/>
              </w:rPr>
            </w:pPr>
            <w:r>
              <w:rPr>
                <w:color w:val="000000"/>
                <w:sz w:val="24"/>
                <w:highlight w:val="none"/>
              </w:rPr>
              <w:t xml:space="preserve">提供证明文件的电子件或电子证照</w:t>
            </w:r>
            <w:r>
              <w:rPr>
                <w:rFonts w:hint="eastAsia"/>
                <w:color w:val="000000"/>
                <w:sz w:val="24"/>
                <w:highlight w:val="none"/>
              </w:rPr>
              <w:t xml:space="preserve">。</w:t>
            </w:r>
            <w:r>
              <w:rPr>
                <w:rFonts w:hint="eastAsia"/>
                <w:color w:val="000000"/>
                <w:highlight w:val="none"/>
              </w:rPr>
            </w:r>
            <w:r/>
          </w:p>
        </w:tc>
      </w:tr>
    </w:tbl>
    <w:p>
      <w:pPr>
        <w:pStyle w:val="1122"/>
        <w:jc w:val="left"/>
        <w:widowControl/>
        <w:rPr>
          <w:color w:val="000000"/>
          <w:sz w:val="24"/>
          <w:highlight w:val="none"/>
        </w:rPr>
      </w:pP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br w:type="page" w:clear="all"/>
      </w:r>
      <w:r>
        <w:rPr>
          <w:color w:val="000000"/>
          <w:sz w:val="24"/>
          <w:highlight w:val="none"/>
        </w:rPr>
        <w:t xml:space="preserve">《符合性审查要求》见下表：</w:t>
      </w:r>
      <w:r>
        <w:rPr>
          <w:color w:val="000000"/>
          <w:sz w:val="24"/>
          <w:highlight w:val="none"/>
        </w:rPr>
      </w:r>
      <w:r/>
    </w:p>
    <w:p>
      <w:pPr>
        <w:pStyle w:val="1122"/>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908"/>
        <w:gridCol w:w="6631"/>
      </w:tblGrid>
      <w:tr>
        <w:trPr>
          <w:trHeight w:val="300"/>
        </w:trPr>
        <w:tc>
          <w:tcPr>
            <w:tcW w:w="403" w:type="dxa"/>
            <w:vAlign w:val="center"/>
            <w:textDirection w:val="lrTb"/>
            <w:noWrap w:val="false"/>
          </w:tcPr>
          <w:p>
            <w:pPr>
              <w:pStyle w:val="112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027" w:type="dxa"/>
            <w:vAlign w:val="center"/>
            <w:textDirection w:val="lrTb"/>
            <w:noWrap w:val="false"/>
          </w:tcPr>
          <w:p>
            <w:pPr>
              <w:pStyle w:val="112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569" w:type="dxa"/>
            <w:vAlign w:val="center"/>
            <w:textDirection w:val="lrTb"/>
            <w:noWrap w:val="false"/>
          </w:tcPr>
          <w:p>
            <w:pPr>
              <w:pStyle w:val="112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300"/>
        </w:trPr>
        <w:tc>
          <w:tcPr>
            <w:tcW w:w="403" w:type="dxa"/>
            <w:vAlign w:val="center"/>
            <w:textDirection w:val="lrTb"/>
            <w:noWrap w:val="false"/>
          </w:tcPr>
          <w:p>
            <w:pPr>
              <w:pStyle w:val="1122"/>
              <w:jc w:val="center"/>
              <w:widowControl/>
              <w:rPr>
                <w:b/>
                <w:color w:val="000000"/>
                <w:sz w:val="24"/>
                <w:highlight w:val="none"/>
              </w:rPr>
            </w:pPr>
            <w:r>
              <w:rPr>
                <w:color w:val="000000"/>
                <w:sz w:val="24"/>
                <w:highlight w:val="none"/>
              </w:rPr>
              <w:t xml:space="preserve">1</w:t>
            </w:r>
            <w:r>
              <w:rPr>
                <w:b/>
                <w:color w:val="000000"/>
                <w:sz w:val="24"/>
                <w:highlight w:val="none"/>
              </w:rPr>
            </w:r>
            <w:r/>
          </w:p>
        </w:tc>
        <w:tc>
          <w:tcPr>
            <w:tcW w:w="1908" w:type="dxa"/>
            <w:vAlign w:val="center"/>
            <w:textDirection w:val="lrTb"/>
            <w:noWrap w:val="false"/>
          </w:tcPr>
          <w:p>
            <w:pPr>
              <w:pStyle w:val="1122"/>
              <w:jc w:val="center"/>
              <w:widowControl/>
              <w:rPr>
                <w:b/>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w:t>
            </w:r>
            <w:r>
              <w:rPr>
                <w:rFonts w:hint="eastAsia"/>
                <w:color w:val="000000"/>
                <w:sz w:val="24"/>
                <w:highlight w:val="none"/>
                <w:lang w:eastAsia="zh-CN"/>
              </w:rPr>
              <w:t xml:space="preserve">、</w:t>
            </w:r>
            <w:r>
              <w:rPr>
                <w:rFonts w:hint="eastAsia"/>
                <w:color w:val="000000"/>
                <w:sz w:val="24"/>
                <w:highlight w:val="none"/>
              </w:rPr>
              <w:t xml:space="preserve">政府采购供应商信用承诺书</w:t>
            </w:r>
            <w:r>
              <w:rPr>
                <w:rFonts w:hint="eastAsia"/>
                <w:color w:val="000000"/>
                <w:sz w:val="24"/>
                <w:highlight w:val="none"/>
                <w:lang w:eastAsia="zh-CN"/>
              </w:rPr>
              <w:t xml:space="preserve">和</w:t>
            </w:r>
            <w:r>
              <w:rPr>
                <w:rFonts w:hint="eastAsia" w:ascii="宋体" w:hAnsi="宋体"/>
                <w:color w:val="000000"/>
                <w:sz w:val="24"/>
                <w:highlight w:val="none"/>
                <w:lang w:eastAsia="zh-CN"/>
              </w:rPr>
              <w:t xml:space="preserve">供应商管理关系或控股关系信息情况表</w:t>
            </w:r>
            <w:r>
              <w:rPr>
                <w:b/>
                <w:color w:val="000000"/>
                <w:sz w:val="24"/>
                <w:highlight w:val="none"/>
              </w:rPr>
            </w:r>
            <w:r/>
          </w:p>
        </w:tc>
        <w:tc>
          <w:tcPr>
            <w:tcW w:w="6631" w:type="dxa"/>
            <w:vAlign w:val="center"/>
            <w:textDirection w:val="lrTb"/>
            <w:noWrap w:val="false"/>
          </w:tcPr>
          <w:p>
            <w:pPr>
              <w:pStyle w:val="1122"/>
              <w:jc w:val="center"/>
              <w:widowControl/>
              <w:rPr>
                <w:b/>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w:t>
            </w:r>
            <w:r>
              <w:rPr>
                <w:rFonts w:hint="eastAsia"/>
                <w:color w:val="000000"/>
                <w:sz w:val="24"/>
                <w:highlight w:val="none"/>
                <w:lang w:eastAsia="zh-CN"/>
              </w:rPr>
              <w:t xml:space="preserve">、</w:t>
            </w:r>
            <w:r>
              <w:rPr>
                <w:rFonts w:hint="eastAsia"/>
                <w:color w:val="000000"/>
                <w:sz w:val="24"/>
                <w:highlight w:val="none"/>
              </w:rPr>
              <w:t xml:space="preserve">政府采购供应商信用承诺书</w:t>
            </w:r>
            <w:r>
              <w:rPr>
                <w:rFonts w:hint="eastAsia"/>
                <w:color w:val="000000"/>
                <w:sz w:val="24"/>
                <w:highlight w:val="none"/>
                <w:lang w:eastAsia="zh-CN"/>
              </w:rPr>
              <w:t xml:space="preserve">和</w:t>
            </w:r>
            <w:r>
              <w:rPr>
                <w:rFonts w:hint="eastAsia" w:ascii="宋体" w:hAnsi="宋体"/>
                <w:color w:val="000000"/>
                <w:sz w:val="24"/>
                <w:highlight w:val="none"/>
                <w:lang w:eastAsia="zh-CN"/>
              </w:rPr>
              <w:t xml:space="preserve">供应商管理关系或控股关系信息情况表</w:t>
            </w:r>
            <w:r>
              <w:rPr>
                <w:color w:val="000000"/>
                <w:sz w:val="24"/>
                <w:highlight w:val="none"/>
              </w:rPr>
              <w:t xml:space="preserve">；</w:t>
            </w:r>
            <w:r>
              <w:rPr>
                <w:b/>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2</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3</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4</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5</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6</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7</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color w:val="000000"/>
                <w:sz w:val="24"/>
                <w:highlight w:val="none"/>
              </w:rPr>
            </w:r>
            <w:r/>
          </w:p>
        </w:tc>
      </w:tr>
      <w:tr>
        <w:trPr>
          <w:trHeight w:val="685"/>
        </w:trPr>
        <w:tc>
          <w:tcPr>
            <w:tcW w:w="403" w:type="dxa"/>
            <w:vAlign w:val="center"/>
            <w:textDirection w:val="lrTb"/>
            <w:noWrap w:val="false"/>
          </w:tcPr>
          <w:p>
            <w:pPr>
              <w:pStyle w:val="1122"/>
              <w:jc w:val="center"/>
              <w:widowControl/>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3" w:type="dxa"/>
            <w:vAlign w:val="center"/>
            <w:textDirection w:val="lrTb"/>
            <w:noWrap w:val="false"/>
          </w:tcPr>
          <w:p>
            <w:pPr>
              <w:pStyle w:val="1122"/>
              <w:jc w:val="center"/>
              <w:widowControl/>
              <w:rPr>
                <w:rFonts w:hint="eastAsia"/>
                <w:color w:val="000000"/>
                <w:sz w:val="24"/>
                <w:highlight w:val="none"/>
              </w:rPr>
            </w:pPr>
            <w:r>
              <w:rPr>
                <w:rFonts w:hint="eastAsia"/>
                <w:color w:val="000000"/>
                <w:sz w:val="24"/>
                <w:highlight w:val="none"/>
              </w:rPr>
              <w:t xml:space="preserve">9</w:t>
            </w:r>
            <w:r>
              <w:rPr>
                <w:rFonts w:hint="eastAsia"/>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1122"/>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p>
            <w:pPr>
              <w:pStyle w:val="1122"/>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响应产品如涉及计算机信息系统安全专用产品的，须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1122"/>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响应产品如有属于开展国家信息安全产品认证产品范围的，须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1122"/>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highlight w:val="none"/>
              </w:rPr>
            </w:r>
            <w:r/>
          </w:p>
        </w:tc>
      </w:tr>
      <w:tr>
        <w:trPr>
          <w:trHeight w:val="685"/>
        </w:trPr>
        <w:tc>
          <w:tcPr>
            <w:tcW w:w="403" w:type="dxa"/>
            <w:vAlign w:val="center"/>
            <w:textDirection w:val="lrTb"/>
            <w:noWrap w:val="false"/>
          </w:tcPr>
          <w:p>
            <w:pPr>
              <w:pStyle w:val="1122"/>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0</w:t>
            </w:r>
            <w:r>
              <w:rPr>
                <w:rFonts w:hint="eastAsia"/>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rFonts w:hint="eastAsia"/>
                <w:color w:val="000000"/>
                <w:sz w:val="24"/>
                <w:highlight w:val="none"/>
              </w:rPr>
              <w:t xml:space="preserve">11</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1027" w:type="dxa"/>
            <w:vAlign w:val="center"/>
            <w:textDirection w:val="lrTb"/>
            <w:noWrap w:val="false"/>
          </w:tcPr>
          <w:p>
            <w:pPr>
              <w:pStyle w:val="112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569" w:type="dxa"/>
            <w:vAlign w:val="center"/>
            <w:textDirection w:val="lrTb"/>
            <w:noWrap w:val="false"/>
          </w:tcPr>
          <w:p>
            <w:pPr>
              <w:pStyle w:val="1122"/>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bl>
    <w:p>
      <w:pPr>
        <w:pStyle w:val="1122"/>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color w:val="000000"/>
          <w:sz w:val="24"/>
          <w:highlight w:val="none"/>
        </w:rPr>
        <w:t xml:space="preserve">常州市政府采购业务管理平台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122"/>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color w:val="000000"/>
          <w:sz w:val="24"/>
          <w:highlight w:val="none"/>
        </w:rPr>
        <w:t xml:space="preserve">常州市政府采购业务管理平台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b/>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最终报价的算术修正及政策调整</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1122"/>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w:t>
      </w:r>
      <w:r>
        <w:rPr>
          <w:color w:val="000000"/>
          <w:sz w:val="24"/>
          <w:highlight w:val="none"/>
          <w:u w:val="single"/>
        </w:rPr>
      </w:r>
      <w:r/>
    </w:p>
    <w:p>
      <w:pPr>
        <w:pStyle w:val="1122"/>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color w:val="000000"/>
          <w:sz w:val="24"/>
          <w:highlight w:val="none"/>
        </w:rPr>
        <w:t xml:space="preserve">■</w:t>
      </w:r>
      <w:r>
        <w:rPr>
          <w:color w:val="000000"/>
          <w:sz w:val="24"/>
          <w:highlight w:val="none"/>
        </w:rPr>
        <w:t xml:space="preserve">无，按下述3.2.2-3.2.5项规定修正。</w:t>
      </w:r>
      <w:r>
        <w:rPr>
          <w:color w:val="000000"/>
          <w:sz w:val="24"/>
          <w:highlight w:val="none"/>
        </w:rPr>
      </w:r>
      <w:r/>
    </w:p>
    <w:p>
      <w:pPr>
        <w:pStyle w:val="112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12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1122"/>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color w:val="000000"/>
          <w:sz w:val="24"/>
          <w:highlight w:val="none"/>
        </w:rPr>
      </w:r>
      <w:r/>
    </w:p>
    <w:p>
      <w:pPr>
        <w:pStyle w:val="1122"/>
        <w:numPr>
          <w:ilvl w:val="2"/>
          <w:numId w:val="12"/>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10</w:t>
      </w:r>
      <w:r>
        <w:rPr>
          <w:color w:val="000000"/>
          <w:sz w:val="24"/>
          <w:highlight w:val="none"/>
        </w:rPr>
        <w:t xml:space="preserve">%的扣除，用扣除后的价格参加评审。</w:t>
      </w:r>
      <w:r>
        <w:rPr>
          <w:color w:val="000000"/>
          <w:sz w:val="24"/>
          <w:highlight w:val="none"/>
        </w:rPr>
      </w:r>
      <w:r/>
    </w:p>
    <w:p>
      <w:pPr>
        <w:pStyle w:val="1122"/>
        <w:numPr>
          <w:ilvl w:val="2"/>
          <w:numId w:val="12"/>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rFonts w:hint="eastAsia" w:ascii="宋体" w:hAnsi="宋体"/>
          <w:color w:val="000000"/>
          <w:sz w:val="24"/>
          <w:highlight w:val="none"/>
        </w:rPr>
      </w:pPr>
      <w:r>
        <w:rPr>
          <w:rFonts w:hint="eastAsia" w:ascii="宋体" w:hAnsi="宋体"/>
          <w:color w:val="000000"/>
          <w:sz w:val="24"/>
          <w:highlight w:val="none"/>
        </w:rPr>
        <w:t xml:space="preserve">采购本国产品的支持政策</w:t>
      </w:r>
      <w:r>
        <w:rPr>
          <w:rFonts w:hint="eastAsia" w:ascii="宋体" w:hAnsi="宋体"/>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Times New Roman" w:hAnsi="Times New Roman" w:eastAsia="宋体" w:cs="Times New Roman"/>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Times New Roman" w:hAnsi="Times New Roman" w:eastAsia="宋体" w:cs="Times New Roman"/>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sz w:val="24"/>
          <w:highlight w:val="none"/>
        </w:rPr>
      </w:r>
      <w:r/>
    </w:p>
    <w:p>
      <w:pPr>
        <w:pStyle w:val="1122"/>
        <w:numPr>
          <w:ilvl w:val="2"/>
          <w:numId w:val="12"/>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宋体" w:cs="Times New Roman"/>
          <w:color w:val="000000"/>
          <w:sz w:val="24"/>
          <w:highlight w:val="none"/>
        </w:rPr>
      </w:r>
      <w:r/>
    </w:p>
    <w:p>
      <w:pPr>
        <w:pStyle w:val="1122"/>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s>
        <w:rPr>
          <w:rFonts w:hint="eastAsia" w:ascii="宋体" w:hAnsi="宋体" w:eastAsia="宋体" w:cs="宋体"/>
          <w:b/>
          <w:bCs/>
          <w:color w:val="000000"/>
          <w:sz w:val="24"/>
          <w:szCs w:val="24"/>
          <w:highlight w:val="none"/>
        </w:rPr>
      </w:pPr>
      <w:r>
        <w:rPr>
          <w:color w:val="000000"/>
          <w:sz w:val="24"/>
          <w:highlight w:val="none"/>
        </w:rPr>
        <w:t xml:space="preserve">其他：</w:t>
      </w:r>
      <w:r>
        <w:rPr>
          <w:rFonts w:hint="eastAsia" w:ascii="宋体" w:hAnsi="宋体" w:eastAsia="宋体" w:cs="宋体"/>
          <w:b/>
          <w:bCs/>
          <w:color w:val="000000"/>
          <w:sz w:val="24"/>
          <w:szCs w:val="24"/>
          <w:highlight w:val="none"/>
        </w:rPr>
        <w:t xml:space="preserve">评审过程中出现下列情形之一的，评审委员会应当启动异常低价投标（响应）审查程序：</w:t>
      </w:r>
      <w:r>
        <w:rPr>
          <w:rFonts w:hint="eastAsia" w:ascii="宋体" w:hAnsi="宋体" w:eastAsia="宋体" w:cs="宋体"/>
          <w:b/>
          <w:bCs/>
          <w:color w:val="000000"/>
          <w:sz w:val="24"/>
          <w:szCs w:val="24"/>
          <w:highlight w:val="none"/>
        </w:rPr>
      </w:r>
      <w:r/>
    </w:p>
    <w:p>
      <w:pPr>
        <w:pStyle w:val="1122"/>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① 投标（响应）报价低于采购项目预算50%的，即投标（响应）报价&lt;采购项目预算×50%；</w:t>
      </w:r>
      <w:r>
        <w:rPr>
          <w:rFonts w:hint="eastAsia" w:ascii="宋体" w:hAnsi="宋体" w:eastAsia="宋体" w:cs="宋体"/>
          <w:b w:val="0"/>
          <w:bCs w:val="0"/>
          <w:color w:val="000000"/>
          <w:sz w:val="24"/>
          <w:szCs w:val="24"/>
          <w:highlight w:val="none"/>
        </w:rPr>
      </w:r>
      <w:r/>
    </w:p>
    <w:p>
      <w:pPr>
        <w:pStyle w:val="1122"/>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 投标（响应）报价低于采购项目最高限价45% 的，即投标（响应）报价&lt;采购项目最高限价×45%；</w:t>
      </w:r>
      <w:r>
        <w:rPr>
          <w:rFonts w:hint="eastAsia" w:ascii="宋体" w:hAnsi="宋体" w:eastAsia="宋体" w:cs="宋体"/>
          <w:b w:val="0"/>
          <w:bCs w:val="0"/>
          <w:color w:val="000000"/>
          <w:sz w:val="24"/>
          <w:szCs w:val="24"/>
          <w:highlight w:val="none"/>
        </w:rPr>
      </w:r>
      <w:r/>
    </w:p>
    <w:p>
      <w:pPr>
        <w:pStyle w:val="1122"/>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③ 评审委员会认定的供应商报价过低、有可能影响产品质量或者不能诚信履约的其他情形。</w:t>
      </w:r>
      <w:r>
        <w:rPr>
          <w:rFonts w:hint="eastAsia" w:ascii="宋体" w:hAnsi="宋体" w:eastAsia="宋体" w:cs="宋体"/>
          <w:b w:val="0"/>
          <w:bCs w:val="0"/>
          <w:color w:val="000000"/>
          <w:sz w:val="24"/>
          <w:szCs w:val="24"/>
          <w:highlight w:val="none"/>
        </w:rPr>
      </w:r>
      <w:r/>
    </w:p>
    <w:p>
      <w:pPr>
        <w:pStyle w:val="1122"/>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val="0"/>
          <w:bCs w:val="0"/>
          <w:color w:val="000000"/>
          <w:sz w:val="24"/>
          <w:szCs w:val="24"/>
          <w:highlight w:val="none"/>
        </w:rPr>
      </w:r>
      <w:r/>
    </w:p>
    <w:p>
      <w:pPr>
        <w:pStyle w:val="1122"/>
        <w:numPr>
          <w:ilvl w:val="0"/>
          <w:numId w:val="12"/>
        </w:numPr>
        <w:spacing w:line="360" w:lineRule="auto"/>
        <w:tabs>
          <w:tab w:val="left" w:pos="360" w:leader="none"/>
          <w:tab w:val="left" w:pos="900" w:leader="none"/>
        </w:tabs>
        <w:rPr>
          <w:color w:val="000000"/>
          <w:sz w:val="24"/>
          <w:highlight w:val="none"/>
        </w:rPr>
        <w:outlineLvl w:val="1"/>
      </w:pPr>
      <w:r/>
      <w:bookmarkEnd w:id="629"/>
      <w:r/>
      <w:bookmarkEnd w:id="630"/>
      <w:r>
        <w:rPr>
          <w:color w:val="000000"/>
          <w:sz w:val="24"/>
          <w:highlight w:val="none"/>
        </w:rPr>
        <w:t xml:space="preserve">评审方法和评审标准</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无</w:t>
      </w:r>
      <w:r>
        <w:rPr>
          <w:color w:val="000000"/>
          <w:sz w:val="24"/>
          <w:highlight w:val="none"/>
        </w:rPr>
        <w:t xml:space="preserve">。</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无</w:t>
      </w:r>
      <w:r>
        <w:rPr>
          <w:color w:val="000000"/>
          <w:sz w:val="24"/>
          <w:highlight w:val="none"/>
        </w:rPr>
        <w:t xml:space="preserve">。</w:t>
      </w:r>
      <w:r>
        <w:rPr>
          <w:color w:val="000000"/>
          <w:sz w:val="24"/>
          <w:highlight w:val="none"/>
        </w:rPr>
      </w:r>
      <w:r/>
    </w:p>
    <w:p>
      <w:pPr>
        <w:pStyle w:val="1122"/>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45" w:name="_Toc151193860"/>
      <w:r/>
      <w:bookmarkStart w:id="646" w:name="_Toc226337242"/>
      <w:r/>
      <w:bookmarkStart w:id="647" w:name="_Toc265228384"/>
      <w:r/>
      <w:bookmarkStart w:id="648" w:name="_Toc151193934"/>
      <w:r/>
      <w:bookmarkStart w:id="649" w:name="_Toc305158814"/>
      <w:r/>
      <w:bookmarkStart w:id="650" w:name="_Toc150774751"/>
      <w:r/>
      <w:bookmarkStart w:id="651" w:name="_Toc150480784"/>
      <w:r/>
      <w:bookmarkStart w:id="652" w:name="_Toc142311048"/>
      <w:r/>
      <w:bookmarkStart w:id="653" w:name="_Toc151193716"/>
      <w:r/>
      <w:bookmarkStart w:id="654" w:name="_Toc151190173"/>
      <w:r/>
      <w:bookmarkStart w:id="655" w:name="_Toc520356170"/>
      <w:r/>
      <w:bookmarkStart w:id="656" w:name="_Toc164608815"/>
      <w:r/>
      <w:bookmarkStart w:id="657" w:name="_Toc226965736"/>
      <w:r/>
      <w:bookmarkStart w:id="658" w:name="_Toc226309790"/>
      <w:r/>
      <w:bookmarkStart w:id="659" w:name="_Toc150509297"/>
      <w:r/>
      <w:bookmarkStart w:id="660" w:name="_Toc149720839"/>
      <w:r/>
      <w:bookmarkStart w:id="661" w:name="_Toc305158888"/>
      <w:r/>
      <w:bookmarkStart w:id="662" w:name="_Toc127161460"/>
      <w:r/>
      <w:bookmarkStart w:id="663" w:name="_Toc164608660"/>
      <w:r/>
      <w:bookmarkStart w:id="664" w:name="_Toc226965819"/>
      <w:r/>
      <w:bookmarkStart w:id="665" w:name="_Toc127151747"/>
      <w:r/>
      <w:bookmarkStart w:id="666" w:name="_Toc195842911"/>
      <w:r/>
      <w:bookmarkStart w:id="667" w:name="_Toc164229241"/>
      <w:r/>
      <w:bookmarkStart w:id="668" w:name="_Toc264969236"/>
      <w:r/>
      <w:bookmarkStart w:id="669" w:name="_Toc151193644"/>
      <w:r/>
      <w:bookmarkStart w:id="670" w:name="_Toc127151546"/>
      <w:r/>
      <w:bookmarkStart w:id="671" w:name="_Toc164351640"/>
      <w:r/>
      <w:bookmarkStart w:id="672" w:name="_Toc151193788"/>
      <w:r/>
      <w:bookmarkStart w:id="673" w:name="_Toc150774646"/>
      <w:r/>
      <w:bookmarkStart w:id="674" w:name="_Ref467307010"/>
      <w:r/>
      <w:bookmarkStart w:id="675" w:name="_Toc164229387"/>
      <w:r>
        <w:rPr>
          <w:color w:val="000000"/>
          <w:sz w:val="24"/>
          <w:highlight w:val="none"/>
        </w:rPr>
        <w:t xml:space="preserve">成交候选人名单</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1122"/>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1122"/>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122"/>
        <w:numPr>
          <w:ilvl w:val="1"/>
          <w:numId w:val="12"/>
        </w:numPr>
        <w:ind w:left="1077" w:hanging="720"/>
        <w:jc w:val="left"/>
        <w:spacing w:line="360" w:lineRule="auto"/>
        <w:widowControl/>
        <w:tabs>
          <w:tab w:val="left" w:pos="1080" w:leader="none"/>
          <w:tab w:val="left" w:pos="1589" w:leader="none"/>
          <w:tab w:val="left" w:pos="1872" w:leader="none"/>
        </w:tabs>
        <w:rPr>
          <w:b/>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1124"/>
        <w:numPr>
          <w:ilvl w:val="0"/>
          <w:numId w:val="13"/>
        </w:numPr>
        <w:jc w:val="both"/>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br w:type="page" w:clear="all"/>
      </w:r>
      <w:r>
        <w:rPr>
          <w:rFonts w:ascii="Times New Roman" w:hAnsi="Times New Roman" w:eastAsia="宋体"/>
          <w:color w:val="000000"/>
          <w:sz w:val="24"/>
          <w:szCs w:val="24"/>
          <w:highlight w:val="none"/>
        </w:rPr>
        <w:t xml:space="preserve">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tbl>
      <w:tblPr>
        <w:tblW w:w="5982"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10"/>
        <w:gridCol w:w="1410"/>
        <w:gridCol w:w="7825"/>
        <w:gridCol w:w="950"/>
      </w:tblGrid>
      <w:tr>
        <w:trPr>
          <w:trHeight w:val="704"/>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评分因素</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评分标准</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分值</w:t>
            </w:r>
            <w:r>
              <w:rPr>
                <w:rFonts w:ascii="宋体" w:hAnsi="宋体" w:cs="宋体"/>
                <w:color w:val="000000"/>
                <w:sz w:val="24"/>
                <w:szCs w:val="24"/>
                <w:highlight w:val="none"/>
              </w:rPr>
            </w:r>
            <w:r/>
          </w:p>
        </w:tc>
      </w:tr>
      <w:tr>
        <w:trPr>
          <w:trHeight w:val="1627"/>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价格分</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满足磋商文件要求且</w:t>
            </w:r>
            <w:r>
              <w:rPr>
                <w:rFonts w:hint="eastAsia" w:ascii="宋体" w:hAnsi="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最</w:t>
            </w:r>
            <w:r>
              <w:rPr>
                <w:rFonts w:hint="eastAsia" w:ascii="宋体" w:hAnsi="宋体" w:cs="宋体"/>
                <w:color w:val="000000"/>
                <w:sz w:val="24"/>
                <w:szCs w:val="24"/>
                <w:highlight w:val="none"/>
                <w:lang w:eastAsia="zh-CN"/>
              </w:rPr>
              <w:t xml:space="preserve">高</w:t>
            </w:r>
            <w:r>
              <w:rPr>
                <w:rFonts w:hint="eastAsia" w:ascii="宋体" w:hAnsi="宋体" w:eastAsia="宋体" w:cs="宋体"/>
                <w:color w:val="000000"/>
                <w:sz w:val="24"/>
                <w:szCs w:val="24"/>
                <w:highlight w:val="none"/>
              </w:rPr>
              <w:t xml:space="preserve">的报价为评</w:t>
            </w:r>
            <w:r>
              <w:rPr>
                <w:rFonts w:hint="eastAsia" w:ascii="宋体" w:hAnsi="宋体" w:cs="宋体"/>
                <w:color w:val="000000"/>
                <w:sz w:val="24"/>
                <w:szCs w:val="24"/>
                <w:highlight w:val="none"/>
                <w:lang w:eastAsia="zh-CN"/>
              </w:rPr>
              <w:t xml:space="preserve">审</w:t>
            </w:r>
            <w:r>
              <w:rPr>
                <w:rFonts w:hint="eastAsia" w:ascii="宋体" w:hAnsi="宋体" w:eastAsia="宋体" w:cs="宋体"/>
                <w:color w:val="000000"/>
                <w:sz w:val="24"/>
                <w:szCs w:val="24"/>
                <w:highlight w:val="none"/>
              </w:rPr>
              <w:t xml:space="preserve">基准价，其价格分为满分</w:t>
            </w:r>
            <w:r>
              <w:rPr>
                <w:rFonts w:hint="eastAsia" w:ascii="宋体" w:hAnsi="宋体" w:eastAsia="宋体" w:cs="宋体"/>
                <w:color w:val="000000"/>
                <w:sz w:val="24"/>
                <w:szCs w:val="24"/>
                <w:highlight w:val="none"/>
                <w:lang w:val="en-US" w:eastAsia="zh-CN"/>
              </w:rPr>
              <w:t xml:space="preserve">25分</w:t>
            </w:r>
            <w:r>
              <w:rPr>
                <w:rFonts w:hint="eastAsia" w:ascii="宋体" w:hAnsi="宋体" w:eastAsia="宋体" w:cs="宋体"/>
                <w:color w:val="000000"/>
                <w:sz w:val="24"/>
                <w:szCs w:val="24"/>
                <w:highlight w:val="none"/>
              </w:rPr>
              <w:t xml:space="preserve">。其他供应商的价格分统一按照下列公式计算：</w:t>
            </w:r>
            <w:r>
              <w:rPr>
                <w:rFonts w:hint="eastAsia" w:ascii="宋体" w:hAnsi="宋体" w:cs="宋体"/>
                <w:color w:val="000000"/>
                <w:sz w:val="24"/>
                <w:szCs w:val="24"/>
                <w:highlight w:val="none"/>
                <w:lang w:eastAsia="zh-CN"/>
              </w:rPr>
              <w:t xml:space="preserve">（计算结果四舍五入保留两位小数）</w:t>
            </w:r>
            <w:r>
              <w:rPr>
                <w:rFonts w:hint="eastAsia" w:ascii="宋体" w:hAnsi="宋体" w:eastAsia="宋体" w:cs="宋体"/>
                <w:color w:val="000000"/>
                <w:sz w:val="24"/>
                <w:szCs w:val="24"/>
                <w:highlight w:val="none"/>
                <w:lang w:eastAsia="zh-CN"/>
              </w:rPr>
            </w:r>
            <w:r/>
          </w:p>
          <w:p>
            <w:pPr>
              <w:pStyle w:val="1122"/>
              <w:jc w:val="left"/>
              <w:widowControl/>
              <w:rPr>
                <w:rFonts w:hint="eastAsia" w:ascii="宋体" w:hAnsi="宋体" w:cs="宋体"/>
                <w:b/>
                <w:bCs/>
                <w:color w:val="000000"/>
                <w:sz w:val="24"/>
                <w:szCs w:val="24"/>
                <w:highlight w:val="none"/>
              </w:rPr>
            </w:pPr>
            <w:r>
              <w:rPr>
                <w:rFonts w:hint="eastAsia" w:ascii="宋体" w:hAnsi="宋体" w:cs="宋体"/>
                <w:color w:val="000000"/>
                <w:sz w:val="24"/>
                <w:szCs w:val="24"/>
                <w:highlight w:val="none"/>
                <w:lang w:val="en-US" w:eastAsia="zh-CN"/>
              </w:rPr>
              <w:t xml:space="preserve">磋商报价</w:t>
            </w:r>
            <w:r>
              <w:rPr>
                <w:rFonts w:hint="eastAsia" w:ascii="宋体" w:hAnsi="宋体" w:eastAsia="宋体" w:cs="宋体"/>
                <w:color w:val="000000"/>
                <w:sz w:val="24"/>
                <w:szCs w:val="24"/>
                <w:highlight w:val="none"/>
              </w:rPr>
              <w:t xml:space="preserve">得分＝（</w:t>
            </w:r>
            <w:r>
              <w:rPr>
                <w:rFonts w:hint="eastAsia" w:ascii="宋体" w:hAnsi="宋体" w:cs="宋体"/>
                <w:color w:val="000000"/>
                <w:sz w:val="24"/>
                <w:szCs w:val="24"/>
                <w:highlight w:val="none"/>
                <w:lang w:val="en-US" w:eastAsia="zh-CN"/>
              </w:rPr>
              <w:t xml:space="preserve">1-磋商</w:t>
            </w:r>
            <w:r>
              <w:rPr>
                <w:rFonts w:hint="eastAsia" w:ascii="宋体" w:hAnsi="宋体" w:eastAsia="宋体" w:cs="宋体"/>
                <w:color w:val="000000"/>
                <w:sz w:val="24"/>
                <w:szCs w:val="24"/>
                <w:highlight w:val="none"/>
              </w:rPr>
              <w:t xml:space="preserve">基准价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1-最终磋商</w:t>
            </w:r>
            <w:r>
              <w:rPr>
                <w:rFonts w:hint="eastAsia" w:ascii="宋体" w:hAnsi="宋体" w:eastAsia="宋体" w:cs="宋体"/>
                <w:color w:val="000000"/>
                <w:sz w:val="24"/>
                <w:szCs w:val="24"/>
                <w:highlight w:val="none"/>
              </w:rPr>
              <w:t xml:space="preserve">报价）×</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r>
            <w:r/>
          </w:p>
        </w:tc>
      </w:tr>
      <w:tr>
        <w:trPr>
          <w:trHeight w:val="704"/>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主观分</w:t>
            </w:r>
            <w:r>
              <w:rPr>
                <w:rFonts w:hint="eastAsia" w:ascii="宋体" w:hAnsi="宋体" w:cs="宋体"/>
                <w:b/>
                <w:bCs/>
                <w:color w:val="000000"/>
                <w:sz w:val="24"/>
                <w:szCs w:val="24"/>
                <w:highlight w:val="none"/>
              </w:rPr>
            </w:r>
            <w:r/>
          </w:p>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（技术分）</w:t>
            </w:r>
            <w:r>
              <w:rPr>
                <w:rFonts w:hint="eastAsia" w:ascii="宋体" w:hAnsi="宋体" w:cs="宋体"/>
                <w:b/>
                <w:bCs/>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5"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2274"/>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before="120" w:line="276" w:lineRule="auto"/>
              <w:tabs>
                <w:tab w:val="left" w:pos="567"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企业的安全运营制度和管理措施</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评委根据供应商针对本项目提供的制度文件，结合安全组织机构、安全责任划分、日常安全巡检流程、驾驶员安全培训计划、安全事故上报机制5项核心内容综合打分：</w:t>
            </w:r>
            <w:r>
              <w:rPr>
                <w:rFonts w:hint="eastAsia" w:ascii="宋体" w:hAnsi="宋体" w:cs="宋体"/>
                <w:b/>
                <w:bCs/>
                <w:color w:val="000000"/>
                <w:sz w:val="24"/>
                <w:szCs w:val="24"/>
                <w:highlight w:val="none"/>
              </w:rPr>
            </w:r>
            <w:r/>
          </w:p>
          <w:p>
            <w:pPr>
              <w:pStyle w:val="1122"/>
              <w:numPr>
                <w:ilvl w:val="0"/>
                <w:numId w:val="0"/>
              </w:numPr>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5项核心内容齐全，制度健全完善，组织机构科学合理的，得</w:t>
            </w: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缺失1项核心内容，制度较健全完善的，得</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缺失2项核心内容，制度基本健全的，得</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缺失3项及以上核心内容，制度简单的，得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jc w:val="left"/>
              <w:rPr>
                <w:rFonts w:hint="eastAsia" w:ascii="宋体" w:hAnsi="宋体" w:cs="宋体"/>
                <w:b/>
                <w:bCs/>
                <w:color w:val="000000"/>
                <w:sz w:val="24"/>
                <w:szCs w:val="24"/>
                <w:highlight w:val="none"/>
              </w:rPr>
            </w:pPr>
            <w:r>
              <w:rPr>
                <w:rFonts w:hint="eastAsia" w:ascii="宋体" w:hAnsi="宋体" w:cs="宋体"/>
                <w:b w:val="0"/>
                <w:bCs w:val="0"/>
                <w:color w:val="000000"/>
                <w:sz w:val="24"/>
                <w:szCs w:val="24"/>
                <w:highlight w:val="none"/>
              </w:rPr>
              <w:t xml:space="preserve">未提供制度文件的，不得分。</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before="120" w:line="276" w:lineRule="auto"/>
              <w:tabs>
                <w:tab w:val="left" w:pos="567" w:leader="none"/>
              </w:tabs>
              <w:rPr>
                <w:rFonts w:hint="eastAsia" w:ascii="宋体" w:hAnsi="宋体" w:eastAsia="宋体" w:cs="宋体"/>
                <w:b/>
                <w:bCs/>
                <w:color w:val="000000"/>
                <w:sz w:val="24"/>
                <w:szCs w:val="24"/>
                <w:highlight w:val="none"/>
                <w:lang w:eastAsia="zh-CN"/>
              </w:rPr>
            </w:pPr>
            <w:r>
              <w:rPr>
                <w:rFonts w:hint="eastAsia" w:ascii="宋体" w:hAnsi="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r>
            <w:r/>
          </w:p>
        </w:tc>
      </w:tr>
      <w:tr>
        <w:trPr>
          <w:trHeight w:val="2768"/>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2.2</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before="120" w:line="276" w:lineRule="auto"/>
              <w:tabs>
                <w:tab w:val="left" w:pos="567"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服务方案</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评委根据供应商针对本项目提供的服务方案，对车辆档案管理、配合项目履约监督及现场检查、用户信息反馈与处置机制等内容的完整性、合理性和针对性进行综合打分：</w:t>
            </w:r>
            <w:r>
              <w:rPr>
                <w:rFonts w:ascii="宋体" w:hAnsi="宋体" w:cs="宋体"/>
                <w:b/>
                <w:bCs/>
                <w:color w:val="000000"/>
                <w:sz w:val="24"/>
                <w:szCs w:val="24"/>
                <w:highlight w:val="none"/>
              </w:rPr>
            </w:r>
            <w:r/>
          </w:p>
          <w:p>
            <w:pPr>
              <w:pStyle w:val="1122"/>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提供的服务方案完整可行，具有针对性，服务理念科学合理，目标定位准确的得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22"/>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提供的服务方案较完整可行，较有针对性，服务理念较科学合理，目标定位较准确的得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2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提供的服务方案基本完整，针对性一般，服务理念一般，目标定位一般的得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122"/>
              <w:rPr>
                <w:rFonts w:ascii="宋体" w:hAnsi="宋体"/>
                <w:color w:val="000000"/>
                <w:sz w:val="24"/>
                <w:szCs w:val="24"/>
                <w:highlight w:val="none"/>
              </w:rPr>
            </w:pPr>
            <w:r>
              <w:rPr>
                <w:rFonts w:hint="eastAsia" w:ascii="宋体" w:hAnsi="宋体"/>
                <w:color w:val="000000"/>
                <w:sz w:val="24"/>
                <w:szCs w:val="24"/>
                <w:highlight w:val="none"/>
              </w:rPr>
              <w:t xml:space="preserve">提供的服务方案简单，可行性较差的得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1122"/>
              <w:rPr>
                <w:rFonts w:hint="eastAsia" w:ascii="宋体" w:hAnsi="宋体" w:cs="宋体"/>
                <w:b/>
                <w:bCs/>
                <w:color w:val="000000"/>
                <w:sz w:val="24"/>
                <w:szCs w:val="24"/>
                <w:highlight w:val="none"/>
              </w:rPr>
            </w:pPr>
            <w:r>
              <w:rPr>
                <w:rFonts w:hint="eastAsia" w:ascii="宋体" w:hAnsi="宋体"/>
                <w:color w:val="000000"/>
                <w:sz w:val="24"/>
                <w:szCs w:val="24"/>
                <w:highlight w:val="none"/>
              </w:rPr>
              <w:t xml:space="preserve">未提供的不得分。</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before="120" w:line="276" w:lineRule="auto"/>
              <w:tabs>
                <w:tab w:val="left" w:pos="567" w:leader="none"/>
              </w:tabs>
              <w:rPr>
                <w:rFonts w:ascii="宋体" w:hAnsi="宋体" w:eastAsia="宋体" w:cs="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8</w:t>
            </w:r>
            <w:r>
              <w:rPr>
                <w:rFonts w:ascii="宋体" w:hAnsi="宋体" w:eastAsia="宋体" w:cs="宋体"/>
                <w:b/>
                <w:bCs/>
                <w:color w:val="000000"/>
                <w:sz w:val="24"/>
                <w:szCs w:val="24"/>
                <w:highlight w:val="none"/>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before="120" w:line="276" w:lineRule="auto"/>
              <w:tabs>
                <w:tab w:val="left" w:pos="567"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服务承诺</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供应商根据自身情况，在基本服务质量要求外，就租用车辆环境卫生保洁、企业服务创新、服务质量标准化、服务监督、重大活动服务保障等几方面提出有效的服务承诺，评委根据服务承诺进行综合打分：</w:t>
            </w:r>
            <w:r>
              <w:rPr>
                <w:rFonts w:ascii="宋体" w:hAnsi="宋体" w:cs="宋体"/>
                <w:b/>
                <w:bCs/>
                <w:color w:val="000000"/>
                <w:sz w:val="24"/>
                <w:szCs w:val="24"/>
                <w:highlight w:val="none"/>
              </w:rPr>
            </w:r>
            <w:r/>
          </w:p>
          <w:p>
            <w:pPr>
              <w:pStyle w:val="1122"/>
              <w:rPr>
                <w:rFonts w:ascii="宋体" w:hAnsi="宋体"/>
                <w:color w:val="000000"/>
                <w:sz w:val="24"/>
                <w:szCs w:val="24"/>
                <w:highlight w:val="none"/>
              </w:rPr>
            </w:pPr>
            <w:r>
              <w:rPr>
                <w:rFonts w:hint="eastAsia" w:ascii="宋体" w:hAnsi="宋体"/>
                <w:color w:val="000000"/>
                <w:sz w:val="24"/>
                <w:szCs w:val="24"/>
                <w:highlight w:val="none"/>
              </w:rPr>
              <w:t xml:space="preserve">提供的服务承诺完整可行，具有可行性的得</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1122"/>
              <w:rPr>
                <w:rFonts w:ascii="宋体" w:hAnsi="宋体"/>
                <w:color w:val="000000"/>
                <w:sz w:val="24"/>
                <w:szCs w:val="24"/>
                <w:highlight w:val="none"/>
              </w:rPr>
            </w:pPr>
            <w:r>
              <w:rPr>
                <w:rFonts w:hint="eastAsia" w:ascii="宋体" w:hAnsi="宋体"/>
                <w:color w:val="000000"/>
                <w:sz w:val="24"/>
                <w:szCs w:val="24"/>
                <w:highlight w:val="none"/>
              </w:rPr>
              <w:t xml:space="preserve">提供的服务承诺较完整可行，较有可行性的得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1122"/>
              <w:rPr>
                <w:rFonts w:hint="eastAsia" w:ascii="宋体" w:hAnsi="宋体"/>
                <w:color w:val="000000"/>
                <w:sz w:val="24"/>
                <w:szCs w:val="24"/>
                <w:highlight w:val="none"/>
              </w:rPr>
            </w:pPr>
            <w:r>
              <w:rPr>
                <w:rFonts w:hint="eastAsia" w:ascii="宋体" w:hAnsi="宋体"/>
                <w:color w:val="000000"/>
                <w:sz w:val="24"/>
                <w:szCs w:val="24"/>
                <w:highlight w:val="none"/>
              </w:rPr>
              <w:t xml:space="preserve">提供的服务承诺基本完整，可行性一般的得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1122"/>
              <w:rPr>
                <w:rFonts w:ascii="宋体" w:hAnsi="宋体"/>
                <w:color w:val="000000"/>
                <w:sz w:val="24"/>
                <w:szCs w:val="24"/>
                <w:highlight w:val="none"/>
              </w:rPr>
            </w:pPr>
            <w:r>
              <w:rPr>
                <w:rFonts w:hint="eastAsia" w:ascii="宋体" w:hAnsi="宋体"/>
                <w:color w:val="000000"/>
                <w:sz w:val="24"/>
                <w:szCs w:val="24"/>
                <w:highlight w:val="none"/>
              </w:rPr>
              <w:t xml:space="preserve">提供的服务承诺简单，可行性较差的得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1122"/>
              <w:rPr>
                <w:rFonts w:hint="eastAsia" w:ascii="宋体" w:hAnsi="宋体" w:cs="宋体"/>
                <w:b/>
                <w:bCs/>
                <w:color w:val="000000"/>
                <w:sz w:val="24"/>
                <w:szCs w:val="24"/>
                <w:highlight w:val="none"/>
              </w:rPr>
            </w:pPr>
            <w:r>
              <w:rPr>
                <w:rFonts w:hint="eastAsia" w:ascii="宋体" w:hAnsi="宋体"/>
                <w:color w:val="000000"/>
                <w:sz w:val="24"/>
                <w:szCs w:val="24"/>
                <w:highlight w:val="none"/>
              </w:rPr>
              <w:t xml:space="preserve">未提供的不得分。</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before="120" w:line="276" w:lineRule="auto"/>
              <w:tabs>
                <w:tab w:val="left" w:pos="567" w:leader="none"/>
              </w:tabs>
              <w:rPr>
                <w:rFonts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ascii="宋体" w:hAnsi="宋体" w:eastAsia="宋体" w:cs="宋体"/>
                <w:b/>
                <w:bCs/>
                <w:color w:val="000000"/>
                <w:sz w:val="24"/>
                <w:szCs w:val="24"/>
                <w:highlight w:val="none"/>
                <w:lang w:val="en-US" w:eastAsia="zh-CN"/>
              </w:rPr>
            </w:r>
            <w:r/>
          </w:p>
        </w:tc>
      </w:tr>
      <w:tr>
        <w:trPr>
          <w:trHeight w:val="2259"/>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2.4</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before="120" w:line="276" w:lineRule="auto"/>
              <w:tabs>
                <w:tab w:val="left" w:pos="567"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应急预案</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评委根据供应商针对车辆故障、交通事故、极端天气、紧急用车、人员突发疾病5类场景的应急预案综合打分：</w:t>
            </w:r>
            <w:r>
              <w:rPr>
                <w:rFonts w:hint="eastAsia" w:ascii="宋体" w:hAnsi="宋体" w:cs="宋体"/>
                <w:b/>
                <w:bCs/>
                <w:color w:val="000000"/>
                <w:sz w:val="24"/>
                <w:szCs w:val="24"/>
                <w:highlight w:val="none"/>
              </w:rPr>
            </w:r>
            <w:r/>
          </w:p>
          <w:p>
            <w:pPr>
              <w:pStyle w:val="112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5类预案齐全，处置流程科学合理，保障机制完善的，得</w:t>
            </w: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缺失1类预案，预案较完善的，得</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缺失2类预案，预案基本完善的，得</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缺失3类及以上预案，预案不完善的，得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rPr>
                <w:rFonts w:hint="eastAsia" w:ascii="宋体" w:hAnsi="宋体" w:cs="宋体"/>
                <w:b/>
                <w:bCs/>
                <w:color w:val="000000"/>
                <w:sz w:val="24"/>
                <w:szCs w:val="24"/>
                <w:highlight w:val="none"/>
              </w:rPr>
            </w:pPr>
            <w:r>
              <w:rPr>
                <w:rFonts w:hint="eastAsia" w:ascii="宋体" w:hAnsi="宋体" w:cs="宋体"/>
                <w:b w:val="0"/>
                <w:bCs w:val="0"/>
                <w:color w:val="000000"/>
                <w:sz w:val="24"/>
                <w:szCs w:val="24"/>
                <w:highlight w:val="none"/>
              </w:rPr>
              <w:t xml:space="preserve">未提供应急预案的，不得分。 </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before="120" w:line="276" w:lineRule="auto"/>
              <w:tabs>
                <w:tab w:val="left" w:pos="567" w:leader="none"/>
              </w:tabs>
              <w:rPr>
                <w:rFonts w:ascii="宋体" w:hAnsi="宋体" w:eastAsia="宋体" w:cs="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8</w:t>
            </w:r>
            <w:r>
              <w:rPr>
                <w:rFonts w:ascii="宋体" w:hAnsi="宋体" w:eastAsia="宋体" w:cs="宋体"/>
                <w:b/>
                <w:bCs/>
                <w:color w:val="000000"/>
                <w:sz w:val="24"/>
                <w:szCs w:val="24"/>
                <w:highlight w:val="none"/>
                <w:lang w:val="en-US" w:eastAsia="zh-CN"/>
              </w:rPr>
            </w:r>
            <w:r/>
          </w:p>
        </w:tc>
      </w:tr>
      <w:tr>
        <w:trPr>
          <w:trHeight w:val="2254"/>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2.5</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before="120" w:line="276" w:lineRule="auto"/>
              <w:tabs>
                <w:tab w:val="left" w:pos="567"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车辆维护、技术管理规定</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评委根据供应商提供的管理规定，结合车辆定期维护计划、日常技术检查流程、故障维修响应机制、车辆报废标准4项核心内容综合打分：</w:t>
            </w:r>
            <w:r>
              <w:rPr>
                <w:rFonts w:hint="eastAsia" w:ascii="宋体" w:hAnsi="宋体" w:cs="宋体"/>
                <w:b/>
                <w:bCs/>
                <w:color w:val="000000"/>
                <w:sz w:val="24"/>
                <w:szCs w:val="24"/>
                <w:highlight w:val="none"/>
              </w:rPr>
            </w:r>
            <w:r/>
          </w:p>
          <w:p>
            <w:pPr>
              <w:pStyle w:val="112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4项核心内容齐全，规定科学合理，可行性高的，得</w:t>
            </w: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缺失1项核心内容，规定较科学合理的，得</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缺失2项核心内容，规定基本合理的，得</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缺失3项及以上核心内容，规定简单的，得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122"/>
              <w:numPr>
                <w:ilvl w:val="0"/>
                <w:numId w:val="0"/>
              </w:numPr>
              <w:rPr>
                <w:rFonts w:hint="eastAsia" w:ascii="宋体" w:hAnsi="宋体" w:cs="宋体"/>
                <w:b/>
                <w:bCs/>
                <w:color w:val="000000"/>
                <w:sz w:val="24"/>
                <w:szCs w:val="24"/>
                <w:highlight w:val="none"/>
              </w:rPr>
            </w:pPr>
            <w:r>
              <w:rPr>
                <w:rFonts w:hint="eastAsia" w:ascii="宋体" w:hAnsi="宋体" w:cs="宋体"/>
                <w:b w:val="0"/>
                <w:bCs w:val="0"/>
                <w:color w:val="000000"/>
                <w:sz w:val="24"/>
                <w:szCs w:val="24"/>
                <w:highlight w:val="none"/>
              </w:rPr>
              <w:t xml:space="preserve">未提供管理规定的，不得分。</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before="120" w:line="276" w:lineRule="auto"/>
              <w:tabs>
                <w:tab w:val="left" w:pos="567" w:leader="none"/>
              </w:tabs>
              <w:rPr>
                <w:rFonts w:ascii="宋体" w:hAnsi="宋体" w:eastAsia="宋体" w:cs="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8</w:t>
            </w:r>
            <w:r>
              <w:rPr>
                <w:rFonts w:ascii="宋体" w:hAnsi="宋体" w:eastAsia="宋体" w:cs="宋体"/>
                <w:b/>
                <w:bCs/>
                <w:color w:val="000000"/>
                <w:sz w:val="24"/>
                <w:szCs w:val="24"/>
                <w:highlight w:val="none"/>
                <w:lang w:val="en-US" w:eastAsia="zh-CN"/>
              </w:rPr>
            </w:r>
            <w:r/>
          </w:p>
        </w:tc>
      </w:tr>
      <w:tr>
        <w:trPr>
          <w:trHeight w:val="555"/>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客观分</w:t>
            </w:r>
            <w:r>
              <w:rPr>
                <w:rFonts w:hint="eastAsia" w:ascii="宋体" w:hAnsi="宋体" w:cs="宋体"/>
                <w:b/>
                <w:bCs/>
                <w:color w:val="000000"/>
                <w:sz w:val="24"/>
                <w:szCs w:val="24"/>
                <w:highlight w:val="none"/>
              </w:rPr>
            </w:r>
            <w:r/>
          </w:p>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（商务分）</w:t>
            </w:r>
            <w:r>
              <w:rPr>
                <w:rFonts w:hint="eastAsia" w:ascii="宋体" w:hAnsi="宋体" w:cs="宋体"/>
                <w:b/>
                <w:bCs/>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5" w:type="dxa"/>
            <w:vAlign w:val="center"/>
            <w:textDirection w:val="lrTb"/>
            <w:noWrap w:val="false"/>
          </w:tcPr>
          <w:p>
            <w:pPr>
              <w:pStyle w:val="112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2029"/>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3.1</w:t>
            </w:r>
            <w:r>
              <w:rPr>
                <w:rFonts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line="360" w:lineRule="auto"/>
              <w:widowControl/>
              <w:tabs>
                <w:tab w:val="left" w:pos="1200"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业绩</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jc w:val="left"/>
              <w:rPr>
                <w:rFonts w:ascii="宋体" w:hAnsi="宋体"/>
                <w:color w:val="000000"/>
                <w:sz w:val="24"/>
                <w:szCs w:val="24"/>
                <w:highlight w:val="none"/>
              </w:rPr>
            </w:pPr>
            <w:r>
              <w:rPr>
                <w:rFonts w:hint="eastAsia" w:ascii="宋体" w:hAnsi="宋体"/>
                <w:color w:val="000000"/>
                <w:sz w:val="24"/>
                <w:szCs w:val="24"/>
                <w:highlight w:val="none"/>
              </w:rPr>
              <w:t xml:space="preserve">供应商自</w:t>
            </w:r>
            <w:r>
              <w:rPr>
                <w:rFonts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年1月1日至本项目磋商公告发布之日止</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highlight w:val="none"/>
              </w:rPr>
              <w:t xml:space="preserve">承接</w:t>
            </w:r>
            <w:r>
              <w:rPr>
                <w:rFonts w:hint="eastAsia" w:ascii="宋体" w:hAnsi="宋体" w:eastAsia="宋体" w:cs="宋体"/>
                <w:color w:val="000000"/>
                <w:sz w:val="24"/>
                <w:highlight w:val="none"/>
                <w:lang w:val="en-US" w:eastAsia="zh-CN"/>
              </w:rPr>
              <w:t xml:space="preserve">过</w:t>
            </w:r>
            <w:r>
              <w:rPr>
                <w:rFonts w:hint="eastAsia" w:ascii="宋体" w:hAnsi="宋体" w:eastAsia="宋体" w:cs="宋体"/>
                <w:color w:val="000000"/>
                <w:sz w:val="24"/>
                <w:highlight w:val="none"/>
              </w:rPr>
              <w:t xml:space="preserve">党政机关事业单位车辆租赁</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项目业绩</w:t>
            </w:r>
            <w:r>
              <w:rPr>
                <w:rFonts w:hint="eastAsia" w:ascii="宋体" w:hAnsi="宋体" w:eastAsia="宋体" w:cs="宋体"/>
                <w:color w:val="000000"/>
                <w:sz w:val="24"/>
                <w:highlight w:val="none"/>
                <w:lang w:eastAsia="zh-CN"/>
              </w:rPr>
              <w:t xml:space="preserve">，</w:t>
            </w:r>
            <w:r>
              <w:rPr>
                <w:rFonts w:ascii="宋体" w:hAnsi="宋体"/>
                <w:color w:val="000000"/>
                <w:sz w:val="24"/>
                <w:szCs w:val="24"/>
                <w:highlight w:val="none"/>
              </w:rPr>
              <w:t xml:space="preserve">车辆长期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租赁期≥6个月）</w:t>
            </w:r>
            <w:r>
              <w:rPr>
                <w:rFonts w:ascii="宋体" w:hAnsi="宋体"/>
                <w:color w:val="000000"/>
                <w:sz w:val="24"/>
                <w:szCs w:val="24"/>
                <w:highlight w:val="none"/>
              </w:rPr>
              <w:t xml:space="preserve">租赁或包车服务的业绩，</w:t>
            </w:r>
            <w:r>
              <w:rPr>
                <w:rFonts w:hint="eastAsia" w:ascii="宋体" w:hAnsi="宋体"/>
                <w:color w:val="000000"/>
                <w:sz w:val="24"/>
                <w:szCs w:val="24"/>
                <w:highlight w:val="none"/>
                <w:lang w:val="en-US" w:eastAsia="zh-CN"/>
              </w:rPr>
              <w:t xml:space="preserve">每提供一份</w:t>
            </w:r>
            <w:r>
              <w:rPr>
                <w:rFonts w:hint="eastAsia" w:ascii="宋体" w:hAnsi="宋体"/>
                <w:color w:val="000000"/>
                <w:sz w:val="24"/>
                <w:szCs w:val="24"/>
                <w:highlight w:val="none"/>
              </w:rPr>
              <w:t xml:space="preserve">有效业绩合同得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lang w:val="en-US" w:eastAsia="zh-CN"/>
              </w:rPr>
              <w:t xml:space="preserve">本项最高得10分。</w:t>
            </w:r>
            <w:r>
              <w:rPr>
                <w:rFonts w:hint="eastAsia" w:ascii="宋体" w:hAnsi="宋体" w:eastAsia="宋体" w:cs="宋体"/>
                <w:color w:val="000000"/>
                <w:sz w:val="24"/>
                <w:highlight w:val="none"/>
              </w:rPr>
              <w:t xml:space="preserve">（同一服务</w:t>
            </w:r>
            <w:r>
              <w:rPr>
                <w:rFonts w:hint="eastAsia" w:ascii="宋体" w:hAnsi="宋体" w:eastAsia="宋体" w:cs="宋体"/>
                <w:color w:val="000000"/>
                <w:sz w:val="24"/>
                <w:highlight w:val="none"/>
                <w:lang w:val="en-US" w:eastAsia="zh-CN"/>
              </w:rPr>
              <w:t xml:space="preserve">单位业绩</w:t>
            </w:r>
            <w:r>
              <w:rPr>
                <w:rFonts w:hint="eastAsia" w:ascii="宋体" w:hAnsi="宋体" w:eastAsia="宋体" w:cs="宋体"/>
                <w:color w:val="000000"/>
                <w:sz w:val="24"/>
                <w:highlight w:val="none"/>
              </w:rPr>
              <w:t xml:space="preserve">不重复计分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ascii="宋体" w:hAnsi="宋体"/>
                <w:color w:val="000000"/>
                <w:sz w:val="24"/>
                <w:szCs w:val="24"/>
                <w:highlight w:val="none"/>
              </w:rPr>
            </w:r>
            <w:r/>
          </w:p>
          <w:p>
            <w:pPr>
              <w:pStyle w:val="1122"/>
              <w:jc w:val="left"/>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电子响应文件中提供有效业绩完整合同扫描件并加盖供应商</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rPr>
              <w:t xml:space="preserve">公章，时间以合同签订日期为准，合同内容应完整，签字盖章齐全且清晰可见，</w:t>
            </w:r>
            <w:r>
              <w:rPr>
                <w:rFonts w:hint="eastAsia" w:ascii="宋体" w:hAnsi="宋体" w:cs="宋体"/>
                <w:b/>
                <w:bCs/>
                <w:color w:val="000000"/>
                <w:sz w:val="24"/>
                <w:szCs w:val="24"/>
                <w:highlight w:val="none"/>
                <w:lang w:val="en-US" w:eastAsia="zh-CN"/>
              </w:rPr>
              <w:t xml:space="preserve">合同中须</w:t>
            </w:r>
            <w:r>
              <w:rPr>
                <w:rFonts w:hint="eastAsia" w:ascii="宋体" w:hAnsi="宋体" w:cs="宋体"/>
                <w:b/>
                <w:bCs/>
                <w:color w:val="000000"/>
                <w:sz w:val="24"/>
                <w:szCs w:val="24"/>
                <w:highlight w:val="none"/>
                <w:lang w:val="zh-CN" w:eastAsia="zh-CN"/>
              </w:rPr>
              <w:t xml:space="preserve">同时</w:t>
            </w:r>
            <w:r>
              <w:rPr>
                <w:rFonts w:hint="eastAsia" w:ascii="宋体" w:hAnsi="宋体" w:cs="宋体"/>
                <w:b/>
                <w:bCs/>
                <w:color w:val="000000"/>
                <w:sz w:val="24"/>
                <w:szCs w:val="24"/>
                <w:highlight w:val="none"/>
                <w:lang w:val="en-US" w:eastAsia="zh-CN"/>
              </w:rPr>
              <w:t xml:space="preserve">体现甲乙双方、服务内容和签订时间，</w:t>
            </w:r>
            <w:r>
              <w:rPr>
                <w:rFonts w:hint="eastAsia" w:ascii="宋体" w:hAnsi="宋体" w:eastAsia="宋体" w:cs="宋体"/>
                <w:b/>
                <w:bCs/>
                <w:color w:val="000000"/>
                <w:sz w:val="24"/>
                <w:szCs w:val="24"/>
                <w:highlight w:val="none"/>
              </w:rPr>
              <w:t xml:space="preserve">未按规定提供不得分。</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line="360" w:lineRule="auto"/>
              <w:widowControl/>
              <w:tabs>
                <w:tab w:val="left" w:pos="1200" w:leader="none"/>
              </w:tabs>
              <w:rPr>
                <w:rFonts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b/>
                <w:bCs/>
                <w:color w:val="000000"/>
                <w:sz w:val="24"/>
                <w:szCs w:val="24"/>
                <w:highlight w:val="none"/>
                <w:lang w:val="en-US" w:eastAsia="zh-CN"/>
              </w:rPr>
            </w:r>
            <w:r/>
          </w:p>
        </w:tc>
      </w:tr>
      <w:tr>
        <w:trPr>
          <w:trHeight w:val="2594"/>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line="360" w:lineRule="auto"/>
              <w:tabs>
                <w:tab w:val="left" w:pos="1200"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保险</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rPr>
                <w:rFonts w:hint="eastAsia" w:ascii="宋体" w:hAnsi="宋体"/>
                <w:color w:val="000000"/>
                <w:sz w:val="24"/>
                <w:szCs w:val="24"/>
                <w:highlight w:val="none"/>
              </w:rPr>
            </w:pPr>
            <w:r>
              <w:rPr>
                <w:rFonts w:hint="eastAsia" w:ascii="宋体" w:hAnsi="宋体"/>
                <w:color w:val="000000"/>
                <w:sz w:val="24"/>
                <w:szCs w:val="24"/>
                <w:highlight w:val="none"/>
              </w:rPr>
              <w:t xml:space="preserve">除国家规定的必保险种， 供应商承诺为本项目服务车辆投保以下保险，保险期限覆盖整个租赁期，按以下标准打分：</w:t>
            </w:r>
            <w:r>
              <w:rPr>
                <w:rFonts w:hint="eastAsia" w:ascii="宋体" w:hAnsi="宋体"/>
                <w:color w:val="000000"/>
                <w:sz w:val="24"/>
                <w:szCs w:val="24"/>
                <w:highlight w:val="none"/>
              </w:rPr>
            </w:r>
            <w:r/>
          </w:p>
          <w:p>
            <w:pPr>
              <w:pStyle w:val="1122"/>
              <w:numPr>
                <w:ilvl w:val="0"/>
                <w:numId w:val="14"/>
              </w:numPr>
              <w:rPr>
                <w:rFonts w:hint="eastAsia" w:ascii="宋体" w:hAnsi="宋体"/>
                <w:color w:val="000000"/>
                <w:sz w:val="24"/>
                <w:szCs w:val="24"/>
                <w:highlight w:val="none"/>
              </w:rPr>
            </w:pPr>
            <w:r>
              <w:rPr>
                <w:rFonts w:hint="eastAsia" w:ascii="宋体" w:hAnsi="宋体"/>
                <w:color w:val="000000"/>
                <w:sz w:val="24"/>
                <w:szCs w:val="24"/>
                <w:highlight w:val="none"/>
              </w:rPr>
              <w:t xml:space="preserve">第三者责任险：≥</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00万元得2分；≥100万元且＜</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00万元得1分；＜100万元不得分；</w:t>
            </w:r>
            <w:r>
              <w:rPr>
                <w:rFonts w:hint="eastAsia" w:ascii="宋体" w:hAnsi="宋体"/>
                <w:color w:val="000000"/>
                <w:sz w:val="24"/>
                <w:szCs w:val="24"/>
                <w:highlight w:val="none"/>
              </w:rPr>
            </w:r>
            <w:r/>
          </w:p>
          <w:p>
            <w:pPr>
              <w:pStyle w:val="1122"/>
              <w:numPr>
                <w:ilvl w:val="0"/>
                <w:numId w:val="14"/>
              </w:numPr>
              <w:ind w:left="0"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车上人员责任险：≥</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0万元/座得5分；≥</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0万元/座且＜</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0万元/座得3分；＜</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0万元/座不得分；</w:t>
            </w:r>
            <w:r>
              <w:rPr>
                <w:rFonts w:hint="eastAsia" w:ascii="宋体" w:hAnsi="宋体"/>
                <w:color w:val="000000"/>
                <w:sz w:val="24"/>
                <w:szCs w:val="24"/>
                <w:highlight w:val="none"/>
              </w:rPr>
            </w:r>
            <w:r/>
          </w:p>
          <w:p>
            <w:pPr>
              <w:pStyle w:val="1122"/>
              <w:numPr>
                <w:ilvl w:val="0"/>
                <w:numId w:val="0"/>
              </w:numPr>
              <w:rPr>
                <w:rFonts w:hint="eastAsia" w:ascii="宋体" w:hAnsi="宋体"/>
                <w:b/>
                <w:bCs/>
                <w:color w:val="000000"/>
                <w:sz w:val="24"/>
                <w:szCs w:val="24"/>
                <w:highlight w:val="none"/>
              </w:rPr>
            </w:pPr>
            <w:r>
              <w:rPr>
                <w:rFonts w:hint="eastAsia" w:ascii="宋体" w:hAnsi="宋体"/>
                <w:color w:val="000000"/>
                <w:sz w:val="24"/>
                <w:szCs w:val="24"/>
                <w:highlight w:val="none"/>
              </w:rPr>
              <w:t xml:space="preserve">3. 车辆损失险：承诺投保得3分；未承诺不得分。本项最高得10分。</w:t>
            </w:r>
            <w:r>
              <w:rPr>
                <w:rFonts w:hint="eastAsia" w:ascii="宋体" w:hAnsi="宋体"/>
                <w:b/>
                <w:bCs/>
                <w:color w:val="000000"/>
                <w:sz w:val="24"/>
                <w:szCs w:val="24"/>
                <w:highlight w:val="none"/>
              </w:rPr>
            </w:r>
            <w:r/>
          </w:p>
          <w:p>
            <w:pPr>
              <w:pStyle w:val="1122"/>
              <w:rPr>
                <w:rFonts w:hint="eastAsia" w:ascii="宋体" w:hAnsi="宋体"/>
                <w:b/>
                <w:bCs/>
                <w:color w:val="000000"/>
                <w:sz w:val="24"/>
                <w:szCs w:val="24"/>
                <w:highlight w:val="none"/>
              </w:rPr>
            </w:pPr>
            <w:r>
              <w:rPr>
                <w:rFonts w:hint="eastAsia" w:ascii="宋体" w:hAnsi="宋体" w:eastAsia="宋体" w:cs="宋体"/>
                <w:b/>
                <w:bCs/>
                <w:color w:val="000000"/>
                <w:sz w:val="24"/>
                <w:szCs w:val="24"/>
                <w:highlight w:val="none"/>
              </w:rPr>
              <w:t xml:space="preserve">电子响应文件中提供相关承诺书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并加盖供应商</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rPr>
              <w:t xml:space="preserve">公章，未按规定提供不得分。</w:t>
            </w:r>
            <w:r>
              <w:rPr>
                <w:rFonts w:hint="eastAsia" w:ascii="宋体" w:hAnsi="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line="360" w:lineRule="auto"/>
              <w:tabs>
                <w:tab w:val="left" w:pos="1200" w:leader="none"/>
              </w:tabs>
              <w:rPr>
                <w:rFonts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b/>
                <w:bCs/>
                <w:color w:val="000000"/>
                <w:sz w:val="24"/>
                <w:szCs w:val="24"/>
                <w:highlight w:val="none"/>
                <w:lang w:val="en-US" w:eastAsia="zh-CN"/>
              </w:rPr>
            </w:r>
            <w:r/>
          </w:p>
        </w:tc>
      </w:tr>
      <w:tr>
        <w:trPr>
          <w:trHeight w:val="1244"/>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line="360" w:lineRule="auto"/>
              <w:tabs>
                <w:tab w:val="left" w:pos="12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增值服务</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供应商提供与本项目相关的实质性特惠服务（如免费提供备用车辆、免费延长服务时间、免费提供车辆深度清洁等），经评审小组一致认可的，</w:t>
            </w:r>
            <w:r>
              <w:rPr>
                <w:rFonts w:hint="eastAsia" w:ascii="宋体" w:hAnsi="宋体" w:cs="宋体"/>
                <w:color w:val="000000"/>
                <w:sz w:val="24"/>
                <w:szCs w:val="24"/>
                <w:highlight w:val="none"/>
                <w:lang w:val="en-US" w:eastAsia="zh-CN"/>
              </w:rPr>
              <w:t xml:space="preserve">每</w:t>
            </w:r>
            <w:r>
              <w:rPr>
                <w:rFonts w:hint="eastAsia" w:ascii="宋体" w:hAnsi="宋体" w:cs="宋体"/>
                <w:color w:val="000000"/>
                <w:sz w:val="24"/>
                <w:szCs w:val="24"/>
                <w:highlight w:val="none"/>
              </w:rPr>
              <w:t xml:space="preserve">有一项得</w:t>
            </w: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本项</w:t>
            </w:r>
            <w:r>
              <w:rPr>
                <w:rFonts w:ascii="宋体" w:hAnsi="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22"/>
              <w:jc w:val="lef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电子响应文件中提供相关承诺书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并加盖供应商</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rPr>
              <w:t xml:space="preserve">公章，未按规定提供不得分。</w:t>
            </w:r>
            <w:r>
              <w:rPr>
                <w:rFonts w:hint="eastAsia" w:ascii="宋体" w:hAnsi="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line="360" w:lineRule="auto"/>
              <w:tabs>
                <w:tab w:val="left" w:pos="1200" w:leader="none"/>
              </w:tabs>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trHeight w:val="1244"/>
        </w:trPr>
        <w:tc>
          <w:tcPr>
            <w:tcBorders>
              <w:top w:val="single" w:color="000000" w:sz="8" w:space="0"/>
              <w:left w:val="single" w:color="000000" w:sz="8" w:space="0"/>
              <w:bottom w:val="single" w:color="000000" w:sz="8" w:space="0"/>
              <w:right w:val="single" w:color="000000" w:sz="8" w:space="0"/>
            </w:tcBorders>
            <w:tcW w:w="368" w:type="dxa"/>
            <w:vAlign w:val="center"/>
            <w:textDirection w:val="lrTb"/>
            <w:noWrap w:val="false"/>
          </w:tcPr>
          <w:p>
            <w:pPr>
              <w:pStyle w:val="1122"/>
              <w:jc w:val="center"/>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3.9</w:t>
            </w:r>
            <w:r>
              <w:rPr>
                <w:rFonts w:ascii="宋体" w:hAnsi="宋体" w:eastAsia="宋体" w:cs="宋体"/>
                <w:b/>
                <w:bCs/>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1122"/>
              <w:jc w:val="center"/>
              <w:spacing w:line="360" w:lineRule="auto"/>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车辆要求</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7" w:type="dxa"/>
            <w:vAlign w:val="center"/>
            <w:textDirection w:val="lrTb"/>
            <w:noWrap w:val="false"/>
          </w:tcPr>
          <w:p>
            <w:pPr>
              <w:pStyle w:val="1122"/>
              <w:numPr>
                <w:ilvl w:val="0"/>
                <w:numId w:val="15"/>
              </w:numPr>
              <w:jc w:val="lef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供应商能</w:t>
            </w:r>
            <w:r>
              <w:rPr>
                <w:rFonts w:hint="eastAsia" w:ascii="宋体" w:hAnsi="宋体" w:eastAsia="宋体" w:cs="宋体"/>
                <w:b w:val="0"/>
                <w:bCs w:val="0"/>
                <w:color w:val="000000"/>
                <w:sz w:val="24"/>
                <w:szCs w:val="24"/>
                <w:highlight w:val="none"/>
              </w:rPr>
              <w:t xml:space="preserve">提供10辆</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5座-9座</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行驶证注册时间为2023年1月1日以后的</w:t>
            </w:r>
            <w:r>
              <w:rPr>
                <w:rFonts w:hint="eastAsia" w:ascii="宋体" w:hAnsi="宋体" w:eastAsia="宋体" w:cs="宋体"/>
                <w:b w:val="0"/>
                <w:bCs w:val="0"/>
                <w:color w:val="000000"/>
                <w:sz w:val="24"/>
                <w:szCs w:val="24"/>
                <w:highlight w:val="none"/>
                <w:lang w:val="en-US" w:eastAsia="zh-CN"/>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22"/>
              <w:numPr>
                <w:ilvl w:val="0"/>
                <w:numId w:val="15"/>
              </w:numPr>
              <w:ind w:left="0" w:firstLine="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供应商能</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辆</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10座-23座</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行驶证注册时间为2023年1月1日以后的</w:t>
            </w:r>
            <w:r>
              <w:rPr>
                <w:rFonts w:hint="eastAsia" w:ascii="宋体" w:hAnsi="宋体" w:eastAsia="宋体" w:cs="宋体"/>
                <w:b w:val="0"/>
                <w:bCs w:val="0"/>
                <w:color w:val="000000"/>
                <w:sz w:val="24"/>
                <w:szCs w:val="24"/>
                <w:highlight w:val="none"/>
                <w:lang w:val="en-US" w:eastAsia="zh-CN"/>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1122"/>
              <w:numPr>
                <w:ilvl w:val="0"/>
                <w:numId w:val="15"/>
              </w:numPr>
              <w:ind w:left="0" w:firstLine="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供应商能</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辆</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24座(含)-43座</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行驶证注册时间为2023年1月1日以后的</w:t>
            </w:r>
            <w:r>
              <w:rPr>
                <w:rFonts w:hint="eastAsia" w:ascii="宋体" w:hAnsi="宋体" w:eastAsia="宋体" w:cs="宋体"/>
                <w:b w:val="0"/>
                <w:bCs w:val="0"/>
                <w:color w:val="000000"/>
                <w:sz w:val="24"/>
                <w:szCs w:val="24"/>
                <w:highlight w:val="none"/>
                <w:lang w:val="en-US" w:eastAsia="zh-CN"/>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1122"/>
              <w:numPr>
                <w:ilvl w:val="0"/>
                <w:numId w:val="15"/>
              </w:numPr>
              <w:ind w:left="0" w:firstLine="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供应商能</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辆</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44座(含及以上）</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行驶证注册时间为2023年1月1日以后的</w:t>
            </w:r>
            <w:r>
              <w:rPr>
                <w:rFonts w:hint="eastAsia" w:ascii="宋体" w:hAnsi="宋体" w:eastAsia="宋体" w:cs="宋体"/>
                <w:b w:val="0"/>
                <w:bCs w:val="0"/>
                <w:color w:val="000000"/>
                <w:sz w:val="24"/>
                <w:szCs w:val="24"/>
                <w:highlight w:val="none"/>
                <w:lang w:val="en-US" w:eastAsia="zh-CN"/>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1122"/>
              <w:numPr>
                <w:ilvl w:val="0"/>
                <w:numId w:val="15"/>
              </w:numPr>
              <w:ind w:left="0" w:firstLine="0"/>
              <w:jc w:val="left"/>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供应商能</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辆</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56座</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行驶证注册时间为2023年1月1日以后的</w:t>
            </w:r>
            <w:r>
              <w:rPr>
                <w:rFonts w:hint="eastAsia" w:ascii="宋体" w:hAnsi="宋体" w:eastAsia="宋体" w:cs="宋体"/>
                <w:b w:val="0"/>
                <w:bCs w:val="0"/>
                <w:color w:val="000000"/>
                <w:sz w:val="24"/>
                <w:szCs w:val="24"/>
                <w:highlight w:val="none"/>
                <w:lang w:val="en-US" w:eastAsia="zh-CN"/>
              </w:rPr>
              <w:t xml:space="preserve">得2分。</w:t>
            </w:r>
            <w:r>
              <w:rPr>
                <w:rFonts w:hint="eastAsia" w:ascii="宋体" w:hAnsi="宋体" w:eastAsia="宋体" w:cs="宋体"/>
                <w:b/>
                <w:bCs/>
                <w:color w:val="000000"/>
                <w:sz w:val="24"/>
                <w:szCs w:val="24"/>
                <w:highlight w:val="none"/>
              </w:rPr>
            </w:r>
            <w:r/>
          </w:p>
          <w:p>
            <w:pPr>
              <w:pStyle w:val="112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电子响应文件中提供车辆行驶证</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并加盖供应商</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bCs/>
                <w:color w:val="000000"/>
                <w:sz w:val="24"/>
                <w:szCs w:val="24"/>
                <w:highlight w:val="none"/>
                <w:lang w:val="en-US" w:eastAsia="zh-CN"/>
              </w:rPr>
              <w:t xml:space="preserve">时间</w:t>
            </w:r>
            <w:r>
              <w:rPr>
                <w:rFonts w:hint="eastAsia" w:ascii="宋体" w:hAnsi="宋体" w:eastAsia="宋体" w:cs="宋体"/>
                <w:b/>
                <w:bCs/>
                <w:color w:val="000000"/>
                <w:sz w:val="24"/>
                <w:szCs w:val="24"/>
                <w:highlight w:val="none"/>
              </w:rPr>
              <w:t xml:space="preserve">以车辆行驶证注册时间为准，未按规定提供不得分。</w:t>
            </w:r>
            <w:r>
              <w:rPr>
                <w:rFonts w:hint="eastAsia" w:ascii="宋体" w:hAnsi="宋体" w:eastAsia="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pStyle w:val="1122"/>
              <w:jc w:val="center"/>
              <w:spacing w:line="360" w:lineRule="auto"/>
              <w:tabs>
                <w:tab w:val="left" w:pos="1200" w:leader="none"/>
              </w:tabs>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lang w:val="en-US" w:eastAsia="zh-CN"/>
              </w:rPr>
            </w:r>
            <w:r/>
          </w:p>
        </w:tc>
      </w:tr>
    </w:tbl>
    <w:p>
      <w:pPr>
        <w:pStyle w:val="1136"/>
        <w:numPr>
          <w:ilvl w:val="0"/>
          <w:numId w:val="0"/>
        </w:numPr>
        <w:rPr>
          <w:color w:val="000000"/>
          <w:highlight w:val="none"/>
        </w:rPr>
      </w:pPr>
      <w:r>
        <w:rPr>
          <w:color w:val="000000"/>
          <w:highlight w:val="none"/>
        </w:rPr>
      </w:r>
      <w:r/>
    </w:p>
    <w:p>
      <w:pPr>
        <w:pStyle w:val="1122"/>
        <w:ind w:firstLine="480"/>
        <w:jc w:val="left"/>
        <w:keepLines w:val="0"/>
        <w:keepNext w:val="0"/>
        <w:pageBreakBefore w:val="0"/>
        <w:spacing w:line="24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注：1.评分细则中要求提供的证明文件及资料等在响应文件中提供原件扫描件，并加盖公章。</w:t>
      </w:r>
      <w:r>
        <w:rPr>
          <w:rFonts w:hint="eastAsia" w:ascii="宋体" w:hAnsi="宋体"/>
          <w:color w:val="000000"/>
          <w:sz w:val="24"/>
          <w:highlight w:val="none"/>
        </w:rPr>
      </w:r>
      <w:r/>
    </w:p>
    <w:p>
      <w:pPr>
        <w:pStyle w:val="1122"/>
        <w:ind w:firstLine="480"/>
        <w:jc w:val="left"/>
        <w:keepLines w:val="0"/>
        <w:keepNext w:val="0"/>
        <w:pageBreakBefore w:val="0"/>
        <w:spacing w:line="24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2．评审时，未能按以上要求提供相应证明（原件扫描件）的，不作为评审依据，不得分。</w:t>
      </w:r>
      <w:r>
        <w:rPr>
          <w:rFonts w:hint="eastAsia" w:ascii="宋体" w:hAnsi="宋体"/>
          <w:color w:val="000000"/>
          <w:sz w:val="24"/>
          <w:highlight w:val="none"/>
        </w:rPr>
      </w:r>
      <w:r/>
    </w:p>
    <w:p>
      <w:pPr>
        <w:pStyle w:val="1122"/>
        <w:ind w:firstLine="480"/>
        <w:jc w:val="left"/>
        <w:keepLines w:val="0"/>
        <w:keepNext w:val="0"/>
        <w:pageBreakBefore w:val="0"/>
        <w:spacing w:line="24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3.为便于评审，请供应商按系统采购文件模版样式，结合采购文件项目需求和评分标准，逐条对应编制响应文件。</w:t>
      </w:r>
      <w:r>
        <w:rPr>
          <w:rFonts w:hint="eastAsia" w:ascii="宋体" w:hAnsi="宋体"/>
          <w:color w:val="000000"/>
          <w:sz w:val="24"/>
          <w:highlight w:val="none"/>
        </w:rPr>
      </w:r>
      <w:r/>
    </w:p>
    <w:p>
      <w:pPr>
        <w:pStyle w:val="1122"/>
        <w:jc w:val="center"/>
        <w:keepLines w:val="0"/>
        <w:keepNext w:val="0"/>
        <w:pageBreakBefore w:val="0"/>
        <w:spacing w:line="240" w:lineRule="auto"/>
        <w:widowControl w:val="off"/>
        <w:rPr>
          <w:rFonts w:hint="eastAsia"/>
          <w:b/>
          <w:color w:val="000000"/>
          <w:sz w:val="36"/>
          <w:szCs w:val="36"/>
          <w:highlight w:val="none"/>
        </w:rPr>
        <w:outlineLvl w:val="0"/>
      </w:pPr>
      <w:r>
        <w:rPr>
          <w:b/>
          <w:color w:val="000000"/>
          <w:sz w:val="36"/>
          <w:szCs w:val="36"/>
          <w:highlight w:val="none"/>
        </w:rPr>
        <w:br w:type="page" w:clear="all"/>
      </w:r>
      <w:bookmarkStart w:id="676" w:name="_Toc1159"/>
      <w:r>
        <w:rPr>
          <w:b/>
          <w:color w:val="000000"/>
          <w:sz w:val="36"/>
          <w:szCs w:val="36"/>
          <w:highlight w:val="none"/>
        </w:rPr>
        <w:t xml:space="preserve">第四章   采购需求</w:t>
      </w:r>
      <w:bookmarkEnd w:id="676"/>
      <w:r>
        <w:rPr>
          <w:rFonts w:hint="eastAsia"/>
          <w:b/>
          <w:color w:val="000000"/>
          <w:sz w:val="36"/>
          <w:szCs w:val="36"/>
          <w:highlight w:val="none"/>
        </w:rPr>
      </w:r>
      <w:r/>
    </w:p>
    <w:p>
      <w:pPr>
        <w:pStyle w:val="1122"/>
        <w:ind w:firstLine="482"/>
        <w:jc w:val="left"/>
        <w:spacing w:line="360" w:lineRule="auto"/>
        <w:rPr>
          <w:rFonts w:ascii="宋体" w:hAnsi="宋体"/>
          <w:b/>
          <w:color w:val="000000"/>
          <w:sz w:val="24"/>
          <w:highlight w:val="none"/>
        </w:rPr>
        <w:outlineLvl w:val="1"/>
      </w:pPr>
      <w:r>
        <w:rPr>
          <w:rFonts w:hint="eastAsia" w:ascii="宋体" w:hAnsi="宋体"/>
          <w:b/>
          <w:color w:val="000000"/>
          <w:sz w:val="24"/>
          <w:highlight w:val="none"/>
        </w:rPr>
        <w:t xml:space="preserve">一、</w:t>
      </w:r>
      <w:r>
        <w:rPr>
          <w:rFonts w:hint="eastAsia" w:ascii="宋体" w:hAnsi="宋体"/>
          <w:b/>
          <w:color w:val="000000"/>
          <w:sz w:val="24"/>
          <w:highlight w:val="none"/>
          <w:lang w:val="en-US" w:eastAsia="zh-CN"/>
        </w:rPr>
        <w:t xml:space="preserve">采购</w:t>
      </w:r>
      <w:r>
        <w:rPr>
          <w:rFonts w:ascii="宋体" w:hAnsi="宋体"/>
          <w:b/>
          <w:color w:val="000000"/>
          <w:sz w:val="24"/>
          <w:highlight w:val="none"/>
        </w:rPr>
        <w:t xml:space="preserve">内容</w:t>
      </w:r>
      <w:r>
        <w:rPr>
          <w:rFonts w:ascii="宋体" w:hAnsi="宋体"/>
          <w:b/>
          <w:color w:val="000000"/>
          <w:sz w:val="24"/>
          <w:highlight w:val="none"/>
        </w:rPr>
      </w:r>
      <w:r/>
    </w:p>
    <w:p>
      <w:pPr>
        <w:pStyle w:val="1122"/>
        <w:ind w:firstLine="482"/>
        <w:jc w:val="left"/>
        <w:spacing w:line="360" w:lineRule="auto"/>
        <w:rPr>
          <w:rFonts w:hint="eastAsia" w:ascii="宋体" w:hAnsi="宋体"/>
          <w:b w:val="0"/>
          <w:bCs/>
          <w:color w:val="000000"/>
          <w:sz w:val="24"/>
          <w:highlight w:val="none"/>
        </w:rPr>
        <w:outlineLvl w:val="1"/>
      </w:pPr>
      <w:r>
        <w:rPr>
          <w:rFonts w:hint="eastAsia" w:ascii="宋体" w:hAnsi="宋体"/>
          <w:b w:val="0"/>
          <w:bCs/>
          <w:color w:val="000000"/>
          <w:sz w:val="24"/>
          <w:highlight w:val="none"/>
        </w:rPr>
        <w:t xml:space="preserve">1. 服务范围：为本项目提供指定车型的汽车租赁服务，包含车辆使用、驾驶员配备、油料、维修保养、保险验审、驾驶员食宿等全部相关服务。</w:t>
      </w:r>
      <w:r>
        <w:rPr>
          <w:rFonts w:hint="eastAsia" w:ascii="宋体" w:hAnsi="宋体"/>
          <w:b w:val="0"/>
          <w:bCs/>
          <w:color w:val="000000"/>
          <w:sz w:val="24"/>
          <w:highlight w:val="none"/>
        </w:rPr>
      </w:r>
      <w:r/>
    </w:p>
    <w:p>
      <w:pPr>
        <w:pStyle w:val="1122"/>
        <w:ind w:firstLine="482"/>
        <w:jc w:val="left"/>
        <w:spacing w:line="360" w:lineRule="auto"/>
        <w:rPr>
          <w:rFonts w:hint="eastAsia" w:ascii="宋体" w:hAnsi="宋体"/>
          <w:b w:val="0"/>
          <w:bCs/>
          <w:color w:val="000000"/>
          <w:sz w:val="24"/>
          <w:highlight w:val="none"/>
        </w:rPr>
        <w:outlineLvl w:val="1"/>
      </w:pPr>
      <w:r>
        <w:rPr>
          <w:rFonts w:hint="eastAsia" w:ascii="宋体" w:hAnsi="宋体"/>
          <w:b w:val="0"/>
          <w:bCs/>
          <w:color w:val="000000"/>
          <w:sz w:val="24"/>
          <w:highlight w:val="none"/>
        </w:rPr>
        <w:t xml:space="preserve">2. 服务车型及计费基数</w:t>
      </w:r>
      <w:r>
        <w:rPr>
          <w:rFonts w:hint="eastAsia" w:ascii="宋体" w:hAnsi="宋体"/>
          <w:b w:val="0"/>
          <w:bCs/>
          <w:color w:val="000000"/>
          <w:sz w:val="24"/>
          <w:highlight w:val="none"/>
        </w:rPr>
      </w:r>
      <w:r/>
    </w:p>
    <w:tbl>
      <w:tblPr>
        <w:tblW w:w="5373" w:type="pct"/>
        <w:jc w:val="center"/>
        <w:tblInd w:w="-1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122"/>
        <w:gridCol w:w="1913"/>
        <w:gridCol w:w="1974"/>
        <w:gridCol w:w="1530"/>
        <w:gridCol w:w="1552"/>
      </w:tblGrid>
      <w:tr>
        <w:trPr>
          <w:trHeight w:val="1525"/>
        </w:trPr>
        <w:tc>
          <w:tcPr>
            <w:tcW w:w="890"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采购内容</w:t>
            </w:r>
            <w:r>
              <w:rPr>
                <w:rFonts w:ascii="宋体" w:hAnsi="宋体" w:cs="宋体"/>
                <w:color w:val="000000"/>
                <w:sz w:val="24"/>
                <w:szCs w:val="24"/>
                <w:highlight w:val="none"/>
              </w:rPr>
            </w:r>
            <w:r/>
          </w:p>
        </w:tc>
        <w:tc>
          <w:tcPr>
            <w:tcW w:w="2122"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服务车型</w:t>
            </w:r>
            <w:r>
              <w:rPr>
                <w:rFonts w:ascii="宋体" w:hAnsi="宋体" w:cs="宋体"/>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半日租最高限价（元/4小时/50公里）</w:t>
            </w:r>
            <w:r>
              <w:rPr>
                <w:rFonts w:ascii="宋体" w:hAnsi="宋体" w:cs="宋体"/>
                <w:color w:val="000000"/>
                <w:sz w:val="24"/>
                <w:szCs w:val="24"/>
                <w:highlight w:val="none"/>
              </w:rPr>
            </w:r>
            <w:r/>
          </w:p>
        </w:tc>
        <w:tc>
          <w:tcPr>
            <w:tcW w:w="1974"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全日租最高限价（元/8小时/100公里）</w:t>
            </w:r>
            <w:r>
              <w:rPr>
                <w:rFonts w:ascii="宋体" w:hAnsi="宋体" w:cs="宋体"/>
                <w:color w:val="000000"/>
                <w:sz w:val="24"/>
                <w:szCs w:val="24"/>
                <w:highlight w:val="none"/>
              </w:rPr>
            </w:r>
            <w:r/>
          </w:p>
        </w:tc>
        <w:tc>
          <w:tcPr>
            <w:tcW w:w="1530" w:type="dxa"/>
            <w:vAlign w:val="center"/>
            <w:textDirection w:val="lrTb"/>
            <w:noWrap w:val="false"/>
          </w:tcPr>
          <w:p>
            <w:pPr>
              <w:pStyle w:val="1122"/>
              <w:jc w:val="center"/>
              <w:spacing w:line="240" w:lineRule="auto"/>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每小时</w:t>
            </w:r>
            <w:r>
              <w:rPr>
                <w:rFonts w:hint="eastAsia" w:ascii="宋体" w:hAnsi="宋体" w:cs="宋体"/>
                <w:b/>
                <w:bCs/>
                <w:color w:val="000000"/>
                <w:sz w:val="24"/>
                <w:szCs w:val="24"/>
                <w:highlight w:val="none"/>
                <w:lang w:val="en-US" w:eastAsia="zh-CN"/>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最高限价</w:t>
            </w:r>
            <w:r>
              <w:rPr>
                <w:rFonts w:ascii="宋体" w:hAnsi="宋体" w:cs="宋体"/>
                <w:color w:val="000000"/>
                <w:sz w:val="24"/>
                <w:szCs w:val="24"/>
                <w:highlight w:val="none"/>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（元/小时）</w:t>
            </w:r>
            <w:r>
              <w:rPr>
                <w:rFonts w:ascii="宋体" w:hAnsi="宋体" w:cs="宋体"/>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每</w:t>
            </w:r>
            <w:r>
              <w:rPr>
                <w:rFonts w:hint="eastAsia" w:ascii="宋体" w:hAnsi="宋体" w:cs="宋体"/>
                <w:b/>
                <w:bCs/>
                <w:color w:val="000000"/>
                <w:sz w:val="24"/>
                <w:szCs w:val="24"/>
                <w:highlight w:val="none"/>
              </w:rPr>
              <w:t xml:space="preserve">公里</w:t>
            </w:r>
            <w:r>
              <w:rPr>
                <w:rFonts w:hint="eastAsia" w:ascii="宋体" w:hAnsi="宋体" w:cs="宋体"/>
                <w:b/>
                <w:bCs/>
                <w:color w:val="000000"/>
                <w:sz w:val="24"/>
                <w:szCs w:val="24"/>
                <w:highlight w:val="none"/>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最高限价</w:t>
            </w:r>
            <w:r>
              <w:rPr>
                <w:rFonts w:ascii="宋体" w:hAnsi="宋体" w:cs="宋体"/>
                <w:color w:val="000000"/>
                <w:sz w:val="24"/>
                <w:szCs w:val="24"/>
                <w:highlight w:val="none"/>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（元/公里）</w:t>
            </w:r>
            <w:r>
              <w:rPr>
                <w:rFonts w:ascii="宋体" w:hAnsi="宋体" w:cs="宋体"/>
                <w:color w:val="000000"/>
                <w:sz w:val="24"/>
                <w:szCs w:val="24"/>
                <w:highlight w:val="none"/>
              </w:rPr>
            </w:r>
            <w:r/>
          </w:p>
        </w:tc>
      </w:tr>
      <w:tr>
        <w:trPr>
          <w:cantSplit/>
          <w:trHeight w:val="470"/>
        </w:trPr>
        <w:tc>
          <w:tcPr>
            <w:tcW w:w="890" w:type="dxa"/>
            <w:vAlign w:val="center"/>
            <w:vMerge w:val="restart"/>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汽车</w:t>
            </w:r>
            <w:r>
              <w:rPr>
                <w:rFonts w:hint="eastAsia" w:ascii="宋体" w:hAnsi="宋体" w:eastAsia="宋体" w:cs="宋体"/>
                <w:b w:val="0"/>
                <w:bCs w:val="0"/>
                <w:color w:val="000000"/>
                <w:sz w:val="24"/>
                <w:szCs w:val="24"/>
                <w:highlight w:val="none"/>
              </w:rPr>
              <w:t xml:space="preserve">租赁</w:t>
            </w: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5座-9座</w:t>
            </w:r>
            <w:r>
              <w:rPr>
                <w:rFonts w:hint="eastAsia" w:ascii="宋体" w:hAnsi="宋体" w:eastAsia="宋体" w:cs="宋体"/>
                <w:b w:val="0"/>
                <w:bCs w:val="0"/>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475</w:t>
            </w: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760</w:t>
            </w:r>
            <w:r>
              <w:rPr>
                <w:rFonts w:ascii="宋体" w:hAnsi="宋体" w:eastAsia="宋体" w:cs="宋体"/>
                <w:b w:val="0"/>
                <w:bCs w:val="0"/>
                <w:color w:val="000000"/>
                <w:sz w:val="24"/>
                <w:szCs w:val="24"/>
                <w:highlight w:val="none"/>
                <w:lang w:val="en-US" w:eastAsia="zh-CN"/>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47.5</w:t>
            </w: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4.75</w:t>
            </w:r>
            <w:r>
              <w:rPr>
                <w:rFonts w:hint="eastAsia" w:ascii="宋体" w:hAnsi="宋体" w:eastAsia="宋体" w:cs="宋体"/>
                <w:b w:val="0"/>
                <w:bCs w:val="0"/>
                <w:color w:val="000000"/>
                <w:sz w:val="24"/>
                <w:szCs w:val="24"/>
                <w:highlight w:val="none"/>
              </w:rPr>
            </w:r>
            <w:r/>
          </w:p>
        </w:tc>
      </w:tr>
      <w:tr>
        <w:trPr>
          <w:cantSplit/>
          <w:trHeight w:val="692"/>
        </w:trPr>
        <w:tc>
          <w:tcPr>
            <w:tcW w:w="890" w:type="dxa"/>
            <w:vAlign w:val="center"/>
            <w:vMerge w:val="continue"/>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座-</w:t>
            </w:r>
            <w:r>
              <w:rPr>
                <w:rFonts w:hint="eastAsia" w:ascii="宋体" w:hAnsi="宋体" w:eastAsia="宋体" w:cs="宋体"/>
                <w:b w:val="0"/>
                <w:bCs w:val="0"/>
                <w:color w:val="000000"/>
                <w:sz w:val="24"/>
                <w:szCs w:val="24"/>
                <w:highlight w:val="none"/>
                <w:lang w:val="en-US" w:eastAsia="zh-CN"/>
              </w:rPr>
              <w:t xml:space="preserve">23</w:t>
            </w:r>
            <w:r>
              <w:rPr>
                <w:rFonts w:hint="eastAsia" w:ascii="宋体" w:hAnsi="宋体" w:eastAsia="宋体" w:cs="宋体"/>
                <w:b w:val="0"/>
                <w:bCs w:val="0"/>
                <w:color w:val="000000"/>
                <w:sz w:val="24"/>
                <w:szCs w:val="24"/>
                <w:highlight w:val="none"/>
              </w:rPr>
              <w:t xml:space="preserve">座</w:t>
            </w:r>
            <w:r>
              <w:rPr>
                <w:rFonts w:hint="eastAsia" w:ascii="宋体" w:hAnsi="宋体" w:eastAsia="宋体" w:cs="宋体"/>
                <w:b w:val="0"/>
                <w:bCs w:val="0"/>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665</w:t>
            </w: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855</w:t>
            </w:r>
            <w:r>
              <w:rPr>
                <w:rFonts w:ascii="宋体" w:hAnsi="宋体" w:eastAsia="宋体" w:cs="宋体"/>
                <w:b w:val="0"/>
                <w:bCs w:val="0"/>
                <w:color w:val="000000"/>
                <w:sz w:val="24"/>
                <w:szCs w:val="24"/>
                <w:highlight w:val="none"/>
                <w:lang w:val="en-US" w:eastAsia="zh-CN"/>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47.5</w:t>
            </w: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4.75</w:t>
            </w:r>
            <w:r>
              <w:rPr>
                <w:rFonts w:hint="eastAsia" w:ascii="宋体" w:hAnsi="宋体" w:eastAsia="宋体" w:cs="宋体"/>
                <w:b w:val="0"/>
                <w:bCs w:val="0"/>
                <w:color w:val="000000"/>
                <w:sz w:val="24"/>
                <w:szCs w:val="24"/>
                <w:highlight w:val="none"/>
              </w:rPr>
            </w:r>
            <w:r/>
          </w:p>
        </w:tc>
      </w:tr>
      <w:tr>
        <w:trPr>
          <w:cantSplit/>
          <w:trHeight w:val="355"/>
        </w:trPr>
        <w:tc>
          <w:tcPr>
            <w:tcW w:w="890" w:type="dxa"/>
            <w:vAlign w:val="center"/>
            <w:vMerge w:val="continue"/>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24座(含)</w:t>
            </w:r>
            <w:r>
              <w:rPr>
                <w:rFonts w:hint="eastAsia" w:ascii="宋体" w:hAnsi="宋体" w:eastAsia="宋体" w:cs="宋体"/>
                <w:b w:val="0"/>
                <w:bCs w:val="0"/>
                <w:color w:val="000000"/>
                <w:sz w:val="24"/>
                <w:szCs w:val="24"/>
                <w:highlight w:val="none"/>
              </w:rPr>
            </w:r>
            <w:r/>
          </w:p>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43座</w:t>
            </w:r>
            <w:r>
              <w:rPr>
                <w:rFonts w:hint="eastAsia" w:ascii="宋体" w:hAnsi="宋体" w:eastAsia="宋体" w:cs="宋体"/>
                <w:b w:val="0"/>
                <w:bCs w:val="0"/>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665</w:t>
            </w: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950</w:t>
            </w:r>
            <w:r>
              <w:rPr>
                <w:rFonts w:hint="eastAsia" w:ascii="宋体" w:hAnsi="宋体" w:eastAsia="宋体" w:cs="宋体"/>
                <w:b w:val="0"/>
                <w:bCs w:val="0"/>
                <w:color w:val="000000"/>
                <w:sz w:val="24"/>
                <w:szCs w:val="24"/>
                <w:highlight w:val="none"/>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57</w:t>
            </w: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r>
      <w:tr>
        <w:trPr>
          <w:cantSplit/>
          <w:trHeight w:val="703"/>
        </w:trPr>
        <w:tc>
          <w:tcPr>
            <w:tcW w:w="890" w:type="dxa"/>
            <w:vAlign w:val="center"/>
            <w:vMerge w:val="continue"/>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44座(含及以上</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760</w:t>
            </w: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1140</w:t>
            </w:r>
            <w:r>
              <w:rPr>
                <w:rFonts w:hint="eastAsia" w:ascii="宋体" w:hAnsi="宋体" w:eastAsia="宋体" w:cs="宋体"/>
                <w:b w:val="0"/>
                <w:bCs w:val="0"/>
                <w:color w:val="000000"/>
                <w:sz w:val="24"/>
                <w:szCs w:val="24"/>
                <w:highlight w:val="none"/>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66.5</w:t>
            </w: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6.65</w:t>
            </w:r>
            <w:r>
              <w:rPr>
                <w:rFonts w:hint="eastAsia" w:ascii="宋体" w:hAnsi="宋体" w:eastAsia="宋体" w:cs="宋体"/>
                <w:b w:val="0"/>
                <w:bCs w:val="0"/>
                <w:color w:val="000000"/>
                <w:sz w:val="24"/>
                <w:szCs w:val="24"/>
                <w:highlight w:val="none"/>
              </w:rPr>
            </w:r>
            <w:r/>
          </w:p>
        </w:tc>
      </w:tr>
    </w:tbl>
    <w:p>
      <w:pPr>
        <w:pStyle w:val="1122"/>
        <w:ind w:firstLine="482"/>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3. 租赁期限：自合同签订生效之日起1年。</w:t>
      </w:r>
      <w:r>
        <w:rPr>
          <w:rFonts w:hint="eastAsia" w:ascii="宋体" w:hAnsi="宋体"/>
          <w:strike w:val="0"/>
          <w:color w:val="000000"/>
          <w:sz w:val="24"/>
          <w:highlight w:val="none"/>
        </w:rPr>
      </w:r>
      <w:r/>
    </w:p>
    <w:p>
      <w:pPr>
        <w:pStyle w:val="1122"/>
        <w:ind w:firstLine="480"/>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4. 用车时段：覆盖正常学习日、双休日及寒、暑假，具体用车时间根据甲方（采购人）下属学校、场馆的训练、学习安排动态调整。</w:t>
      </w:r>
      <w:r>
        <w:rPr>
          <w:rFonts w:hint="eastAsia" w:ascii="宋体" w:hAnsi="宋体"/>
          <w:strike w:val="0"/>
          <w:color w:val="000000"/>
          <w:sz w:val="24"/>
          <w:highlight w:val="none"/>
        </w:rPr>
      </w:r>
      <w:r/>
    </w:p>
    <w:p>
      <w:pPr>
        <w:pStyle w:val="1122"/>
        <w:ind w:firstLine="480"/>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5. 车型升级约定：如无符合要求的低座位数车辆，供应商可提供高等级座位数车辆承运，但费用按甲方指定车型的计费基数结算。</w:t>
      </w:r>
      <w:r>
        <w:rPr>
          <w:rFonts w:hint="eastAsia" w:ascii="宋体" w:hAnsi="宋体"/>
          <w:strike w:val="0"/>
          <w:color w:val="000000"/>
          <w:sz w:val="24"/>
          <w:highlight w:val="none"/>
        </w:rPr>
      </w:r>
      <w:r/>
    </w:p>
    <w:p>
      <w:pPr>
        <w:pStyle w:val="1122"/>
        <w:ind w:firstLine="480"/>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6. 费用覆盖：供应商报价需包含接送车辆使用费、驾驶员工资、驾驶员住宿餐饮费、油料费、车辆维护维修费、车辆保险验审费、税费等完成本项目服务的全部费用，甲方不再另行支付任何费用。</w:t>
      </w:r>
      <w:r>
        <w:rPr>
          <w:rFonts w:hint="eastAsia" w:ascii="宋体" w:hAnsi="宋体"/>
          <w:strike w:val="0"/>
          <w:color w:val="000000"/>
          <w:sz w:val="24"/>
          <w:highlight w:val="none"/>
        </w:rPr>
      </w:r>
      <w:r/>
    </w:p>
    <w:p>
      <w:pPr>
        <w:pStyle w:val="1122"/>
        <w:ind w:firstLine="480"/>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二、报价方式</w:t>
      </w:r>
      <w:r>
        <w:rPr>
          <w:rFonts w:hint="eastAsia" w:ascii="宋体" w:hAnsi="宋体"/>
          <w:strike w:val="0"/>
          <w:color w:val="000000"/>
          <w:sz w:val="24"/>
          <w:highlight w:val="none"/>
        </w:rPr>
      </w:r>
      <w:r/>
    </w:p>
    <w:p>
      <w:pPr>
        <w:pStyle w:val="1122"/>
        <w:ind w:firstLine="480"/>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1. 本次采购采用固定优惠率报价方式，供应商需填报统一的优惠率（计算公式：优惠率=（计费基数-结算单价）/计费基数×100%）。</w:t>
      </w:r>
      <w:r>
        <w:rPr>
          <w:rFonts w:hint="eastAsia" w:ascii="宋体" w:hAnsi="宋体"/>
          <w:strike w:val="0"/>
          <w:color w:val="000000"/>
          <w:sz w:val="24"/>
          <w:highlight w:val="none"/>
        </w:rPr>
      </w:r>
      <w:r/>
    </w:p>
    <w:p>
      <w:pPr>
        <w:pStyle w:val="1122"/>
        <w:ind w:firstLine="480"/>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2. 成交优惠率为供应商承接本项目服务的最终优惠率，结算时按“结算价=对应车型计费基数×（1-成交优惠率）”计算。</w:t>
      </w:r>
      <w:r>
        <w:rPr>
          <w:rFonts w:hint="eastAsia" w:ascii="宋体" w:hAnsi="宋体"/>
          <w:strike w:val="0"/>
          <w:color w:val="000000"/>
          <w:sz w:val="24"/>
          <w:highlight w:val="none"/>
        </w:rPr>
      </w:r>
      <w:r/>
    </w:p>
    <w:p>
      <w:pPr>
        <w:pStyle w:val="1122"/>
        <w:ind w:firstLine="480"/>
        <w:jc w:val="left"/>
        <w:spacing w:line="360" w:lineRule="auto"/>
        <w:rPr>
          <w:rFonts w:hint="eastAsia" w:ascii="宋体" w:hAnsi="宋体"/>
          <w:strike w:val="0"/>
          <w:color w:val="000000"/>
          <w:sz w:val="24"/>
          <w:highlight w:val="none"/>
        </w:rPr>
        <w:outlineLvl w:val="1"/>
      </w:pPr>
      <w:r>
        <w:rPr>
          <w:rFonts w:hint="eastAsia" w:ascii="宋体" w:hAnsi="宋体"/>
          <w:strike w:val="0"/>
          <w:color w:val="000000"/>
          <w:sz w:val="24"/>
          <w:highlight w:val="none"/>
        </w:rPr>
        <w:t xml:space="preserve">3. 供应商报价应涵盖采购范围全部内容及合同包含的所有风险、责任，一经成交，优惠率固定不变。</w:t>
      </w:r>
      <w:r>
        <w:rPr>
          <w:rFonts w:hint="eastAsia" w:ascii="宋体" w:hAnsi="宋体"/>
          <w:strike w:val="0"/>
          <w:color w:val="000000"/>
          <w:sz w:val="24"/>
          <w:highlight w:val="none"/>
        </w:rPr>
      </w:r>
      <w:r/>
    </w:p>
    <w:p>
      <w:pPr>
        <w:pStyle w:val="1122"/>
        <w:ind w:firstLine="482"/>
        <w:jc w:val="left"/>
        <w:spacing w:line="360" w:lineRule="auto"/>
        <w:rPr>
          <w:rFonts w:hint="eastAsia" w:ascii="宋体" w:hAnsi="宋体"/>
          <w:b/>
          <w:color w:val="000000"/>
          <w:sz w:val="24"/>
          <w:highlight w:val="none"/>
          <w:lang w:val="en-US" w:eastAsia="zh-CN"/>
        </w:rPr>
        <w:outlineLvl w:val="1"/>
      </w:pPr>
      <w:r>
        <w:rPr>
          <w:rFonts w:hint="eastAsia" w:ascii="宋体" w:hAnsi="宋体"/>
          <w:b/>
          <w:color w:val="000000"/>
          <w:sz w:val="24"/>
          <w:highlight w:val="none"/>
          <w:lang w:val="en-US" w:eastAsia="zh-CN"/>
        </w:rPr>
      </w:r>
      <w:r/>
    </w:p>
    <w:p>
      <w:pPr>
        <w:pStyle w:val="1122"/>
        <w:ind w:firstLine="482"/>
        <w:jc w:val="left"/>
        <w:spacing w:line="360" w:lineRule="auto"/>
        <w:rPr>
          <w:rFonts w:hint="eastAsia" w:ascii="宋体" w:hAnsi="宋体"/>
          <w:b/>
          <w:color w:val="000000"/>
          <w:sz w:val="24"/>
          <w:highlight w:val="none"/>
        </w:rPr>
        <w:outlineLvl w:val="1"/>
      </w:pPr>
      <w:r>
        <w:rPr>
          <w:rFonts w:hint="eastAsia" w:ascii="宋体" w:hAnsi="宋体"/>
          <w:b/>
          <w:color w:val="000000"/>
          <w:sz w:val="24"/>
          <w:highlight w:val="none"/>
          <w:lang w:val="en-US" w:eastAsia="zh-CN"/>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基本要求</w:t>
      </w:r>
      <w:r>
        <w:rPr>
          <w:rFonts w:hint="eastAsia" w:ascii="宋体" w:hAnsi="宋体"/>
          <w:b/>
          <w:color w:val="000000"/>
          <w:sz w:val="24"/>
          <w:highlight w:val="none"/>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1. 车辆验收：成交公告发布后3个工作日内，甲方组织车辆验收，供应商需提供全部拟投入车辆的行驶证、年检合格证、保险单等有效证件。验收合格的，双方签署《车辆验收确认书》；验收不合格的，供应商需在2个工作日内更换车辆并重新验收，直至合格。未通过验收的车辆，不得投入项目服务。</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2. 服务调整：实际车辆使用量、规格和使用时间由甲方根据训练安排随时调整，供应商需无条件配合，不得以此为由拒绝提供服务或额外收取费用。</w:t>
      </w:r>
      <w:r>
        <w:rPr>
          <w:rFonts w:hint="eastAsia" w:ascii="宋体" w:hAnsi="宋体"/>
          <w:color w:val="000000"/>
          <w:sz w:val="24"/>
          <w:highlight w:val="none"/>
          <w:lang w:val="en-US" w:eastAsia="zh-CN"/>
        </w:rPr>
      </w:r>
      <w:r/>
    </w:p>
    <w:p>
      <w:pPr>
        <w:pStyle w:val="1122"/>
        <w:ind w:firstLine="482"/>
        <w:jc w:val="left"/>
        <w:spacing w:line="360" w:lineRule="auto"/>
        <w:rPr>
          <w:rFonts w:ascii="宋体" w:hAnsi="宋体"/>
          <w:b/>
          <w:color w:val="000000"/>
          <w:sz w:val="24"/>
          <w:highlight w:val="none"/>
        </w:rPr>
        <w:outlineLvl w:val="1"/>
      </w:pPr>
      <w:r>
        <w:rPr>
          <w:rFonts w:hint="eastAsia" w:ascii="宋体" w:hAnsi="宋体" w:eastAsia="宋体" w:cs="Times New Roman"/>
          <w:b/>
          <w:color w:val="000000"/>
          <w:sz w:val="24"/>
          <w:highlight w:val="none"/>
          <w:lang w:val="en-US" w:eastAsia="zh-CN"/>
        </w:rPr>
        <w:t xml:space="preserve">四、</w:t>
      </w:r>
      <w:r>
        <w:rPr>
          <w:rFonts w:hint="eastAsia" w:ascii="宋体" w:hAnsi="宋体"/>
          <w:b/>
          <w:color w:val="000000"/>
          <w:sz w:val="24"/>
          <w:highlight w:val="none"/>
        </w:rPr>
        <w:t xml:space="preserve">服务要求</w:t>
      </w:r>
      <w:r>
        <w:rPr>
          <w:rFonts w:ascii="宋体" w:hAnsi="宋体"/>
          <w:b/>
          <w:color w:val="000000"/>
          <w:sz w:val="24"/>
          <w:highlight w:val="none"/>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1. 常规用车响应：正常情况下，采购方提前24小时向供应商出具《派车单》，明确用车日期、时间、座位数、起止地点等信息。供应商需按《派车单》要求提供专用车辆接送服务，且每次接到预订后，需主动联系用车对象，制定行车计划，落实车辆安排。驾驶员需提前10分钟到达甲方指定地点，做好车辆检查、清洁等准备工作。</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2. 紧急用车响应：遇紧急情况，采购方可临时通知供应商提供用车服务，供应商需在接到通知后30分钟内响应，1小时内安排车辆到位（特殊地理位置由双方另行约定响应时间），费用按实际用车时长/里程及成交优惠率结算。</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3. 驾驶员服务规范：采购方乘车人员上车前，驾驶员应下车相迎，主动协助放置行李；服务过程中，需热情耐心接受乘客咨询，解答乘客提问，保持车辆内部整洁、无异味。</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4. 自行车队专用服务：采购方自行车队需安排专用车辆，每日接送队员往返溧阳至南京两地。供应商需根据甲方实际需求，在指定学校或场馆附近放置约定数量、车型的备用车辆，产生的停车费、油料费等由供应商自行承担。</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5. 服务验收确认：每次用车结束后，供应商需按采购方要求填写《用车验收单》，明确用车车型、时长/里程、服务质量等内容，经双方签字确认后留档，作为结算依据。</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6.供应商须明确负责人1名，与采购方进行对接，服务期内未经采购方同意不得随意更换。</w:t>
      </w:r>
      <w:r>
        <w:rPr>
          <w:rFonts w:hint="eastAsia" w:ascii="宋体" w:hAnsi="宋体"/>
          <w:color w:val="000000"/>
          <w:sz w:val="24"/>
          <w:highlight w:val="none"/>
          <w:lang w:val="en-US" w:eastAsia="zh-CN"/>
        </w:rPr>
      </w:r>
      <w:r/>
    </w:p>
    <w:p>
      <w:pPr>
        <w:pStyle w:val="1122"/>
        <w:ind w:firstLine="482"/>
        <w:jc w:val="left"/>
        <w:spacing w:line="360" w:lineRule="auto"/>
        <w:rPr>
          <w:rFonts w:ascii="宋体" w:hAnsi="宋体"/>
          <w:b/>
          <w:color w:val="000000"/>
          <w:sz w:val="24"/>
          <w:highlight w:val="none"/>
        </w:rPr>
        <w:outlineLvl w:val="1"/>
      </w:pPr>
      <w:r>
        <w:rPr>
          <w:rFonts w:hint="eastAsia" w:ascii="宋体" w:hAnsi="宋体"/>
          <w:b/>
          <w:color w:val="000000"/>
          <w:sz w:val="24"/>
          <w:highlight w:val="none"/>
          <w:lang w:val="en-US" w:eastAsia="zh-CN"/>
        </w:rPr>
        <w:t xml:space="preserve">五</w:t>
      </w:r>
      <w:r>
        <w:rPr>
          <w:rFonts w:ascii="宋体" w:hAnsi="宋体"/>
          <w:b/>
          <w:color w:val="000000"/>
          <w:sz w:val="24"/>
          <w:highlight w:val="none"/>
        </w:rPr>
        <w:t xml:space="preserve">、</w:t>
      </w:r>
      <w:r>
        <w:rPr>
          <w:rFonts w:hint="eastAsia" w:ascii="宋体" w:hAnsi="宋体"/>
          <w:b/>
          <w:color w:val="000000"/>
          <w:sz w:val="24"/>
          <w:highlight w:val="none"/>
        </w:rPr>
        <w:t xml:space="preserve">车辆要求</w:t>
      </w:r>
      <w:r>
        <w:rPr>
          <w:rFonts w:ascii="宋体" w:hAnsi="宋体"/>
          <w:b/>
          <w:color w:val="000000"/>
          <w:sz w:val="24"/>
          <w:highlight w:val="none"/>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1. 车辆资质：供应商需按甲方要求提供指定车型的车辆，保证车况良好、设备齐全（含空调、安全带、灭火器等）且性能正常。车辆需具备有效行驶证，且年检合格，符合道路交通安全法规及相关行业标准要求。</w:t>
      </w:r>
      <w:r>
        <w:rPr>
          <w:rFonts w:hint="eastAsia" w:ascii="宋体" w:hAnsi="宋体"/>
          <w:color w:val="000000"/>
          <w:sz w:val="24"/>
          <w:highlight w:val="none"/>
          <w:lang w:val="en-US" w:eastAsia="zh-CN"/>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2. 车辆保险：供应商需为拟投入车辆投保以下保险，保险期限覆盖整个租赁期，且保险金额满足以下要求：</w:t>
      </w:r>
      <w:r>
        <w:rPr>
          <w:rFonts w:hint="eastAsia" w:ascii="宋体" w:hAnsi="宋体"/>
          <w:color w:val="000000"/>
          <w:sz w:val="24"/>
          <w:highlight w:val="none"/>
          <w:lang w:val="en-US" w:eastAsia="zh-CN"/>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（1）机动车交通事故责任强制保险（交强险）：按国家规定标准投保；</w:t>
      </w:r>
      <w:r>
        <w:rPr>
          <w:rFonts w:hint="eastAsia" w:ascii="宋体" w:hAnsi="宋体"/>
          <w:color w:val="000000"/>
          <w:sz w:val="24"/>
          <w:highlight w:val="none"/>
          <w:lang w:val="en-US" w:eastAsia="zh-CN"/>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（2）机动车第三者责任险：保险金额不低于100万元；</w:t>
      </w:r>
      <w:r>
        <w:rPr>
          <w:rFonts w:hint="eastAsia" w:ascii="宋体" w:hAnsi="宋体"/>
          <w:color w:val="000000"/>
          <w:sz w:val="24"/>
          <w:highlight w:val="none"/>
          <w:lang w:val="en-US" w:eastAsia="zh-CN"/>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（3）道路客运承运人责任险：每座保险金额不低于50万元；</w:t>
      </w:r>
      <w:r>
        <w:rPr>
          <w:rFonts w:hint="eastAsia" w:ascii="宋体" w:hAnsi="宋体"/>
          <w:color w:val="000000"/>
          <w:sz w:val="24"/>
          <w:highlight w:val="none"/>
          <w:lang w:val="en-US" w:eastAsia="zh-CN"/>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（4）车辆损失险：保险金额不低于车辆市场评估价值。</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3. 车辆运营责任：供应商需承担车辆运营过程中的全部油料费、维修保养费、验审费，以及驾驶员工资、社保等相关费用。</w:t>
      </w:r>
      <w:r>
        <w:rPr>
          <w:rFonts w:hint="eastAsia" w:ascii="宋体" w:hAnsi="宋体"/>
          <w:color w:val="000000"/>
          <w:sz w:val="24"/>
          <w:highlight w:val="none"/>
          <w:lang w:val="en-US" w:eastAsia="zh-CN"/>
        </w:rPr>
      </w:r>
      <w:r/>
    </w:p>
    <w:p>
      <w:pPr>
        <w:pStyle w:val="1122"/>
        <w:ind w:firstLine="482"/>
        <w:jc w:val="left"/>
        <w:spacing w:line="360" w:lineRule="auto"/>
        <w:rPr>
          <w:rFonts w:ascii="宋体" w:hAnsi="宋体"/>
          <w:b/>
          <w:color w:val="000000"/>
          <w:sz w:val="24"/>
          <w:highlight w:val="none"/>
        </w:rPr>
        <w:outlineLvl w:val="1"/>
      </w:pPr>
      <w:r>
        <w:rPr>
          <w:rFonts w:hint="eastAsia" w:ascii="宋体" w:hAnsi="宋体"/>
          <w:b/>
          <w:color w:val="000000"/>
          <w:sz w:val="24"/>
          <w:highlight w:val="none"/>
          <w:lang w:val="en-US" w:eastAsia="zh-CN"/>
        </w:rPr>
        <w:t xml:space="preserve">六</w:t>
      </w:r>
      <w:r>
        <w:rPr>
          <w:rFonts w:ascii="宋体" w:hAnsi="宋体"/>
          <w:b/>
          <w:color w:val="000000"/>
          <w:sz w:val="24"/>
          <w:highlight w:val="none"/>
        </w:rPr>
        <w:t xml:space="preserve">、</w:t>
      </w:r>
      <w:r>
        <w:rPr>
          <w:rFonts w:hint="eastAsia" w:ascii="宋体" w:hAnsi="宋体"/>
          <w:b/>
          <w:color w:val="000000"/>
          <w:sz w:val="24"/>
          <w:highlight w:val="none"/>
        </w:rPr>
        <w:t xml:space="preserve">安全要求</w:t>
      </w:r>
      <w:r>
        <w:rPr>
          <w:rFonts w:ascii="宋体" w:hAnsi="宋体"/>
          <w:b/>
          <w:color w:val="000000"/>
          <w:sz w:val="24"/>
          <w:highlight w:val="none"/>
        </w:rPr>
      </w:r>
      <w:r/>
    </w:p>
    <w:p>
      <w:pPr>
        <w:pStyle w:val="1122"/>
        <w:ind w:firstLine="482"/>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1. 驾驶员资质：供应商派出的驾驶员需持有与准驾车型相符的合法有效驾驶证，且具有3年以上相应车型驾驶经验，无重大交通事故记录。供应商需在项目启动前，向甲方提供所有驾驶员的驾驶证、从业资格证（如需）、无犯罪记录证明等资料备案。</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2. 安全行车规范：租赁期间，驾驶员需严格遵守国家有关法律、法规及交通规则，安全行车。因驾驶员酒驾、毒驾、超速、闯红灯等违法、违纪、违章行为造成的一切民事、行政、刑事责任，由供应商自行承担，并赔偿甲方因此遭受的全部损失。</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3. 事故处理责任：租赁期内，车辆发生交通事故的，供应商需立即通知甲方，并由供应商或驾驶员前往公安交通管理部门处理。事故造成的人员伤亡、财产损失及相应的法律责任、经济赔偿，全部由供应商承担。甲方协助处理事故产生的费用，也由供应商承担。</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4. 车辆年审要求：供应商需提前掌握车辆年审期限，在年审规定日期前15天处理完毕车辆违法信息，并完成车辆年审。如因供应商未及时年审导致车辆无法正常使用，或发生交通事故后保险公司拒赔的，一切法律后果及经济损失由供应商承担。</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5. 车辆使用责任：因驾驶员未按车辆性能或操作程序使用车辆，造成车辆损坏、停运的，维修费用及停运期间甲方的损失，由供应商承担；因供应商过失导致保险公司拒绝赔偿的损失，也由供应商承担。</w:t>
      </w:r>
      <w:r>
        <w:rPr>
          <w:rFonts w:hint="eastAsia" w:ascii="宋体" w:hAnsi="宋体"/>
          <w:color w:val="000000"/>
          <w:sz w:val="24"/>
          <w:highlight w:val="none"/>
          <w:lang w:val="en-US" w:eastAsia="zh-CN"/>
        </w:rPr>
      </w:r>
      <w:r/>
    </w:p>
    <w:p>
      <w:pPr>
        <w:pStyle w:val="1122"/>
        <w:ind w:firstLine="480"/>
        <w:jc w:val="left"/>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6. 车辆扣押责任：非因甲方原因导致车辆被第三方扣押的，责任由供应商承担，供应商需立即协调解决，并提供替代车辆保障甲方用车需求，不得影响甲方正常教学、训练安排。</w:t>
      </w:r>
      <w:r>
        <w:rPr>
          <w:rFonts w:hint="eastAsia" w:ascii="宋体" w:hAnsi="宋体"/>
          <w:color w:val="000000"/>
          <w:sz w:val="24"/>
          <w:highlight w:val="none"/>
          <w:lang w:val="en-US" w:eastAsia="zh-CN"/>
        </w:rPr>
      </w:r>
      <w:r/>
    </w:p>
    <w:p>
      <w:pPr>
        <w:pStyle w:val="1122"/>
        <w:ind w:firstLine="482"/>
        <w:jc w:val="left"/>
        <w:spacing w:line="360" w:lineRule="auto"/>
        <w:rPr>
          <w:rFonts w:hint="eastAsia" w:ascii="宋体" w:hAnsi="宋体"/>
          <w:b/>
          <w:color w:val="000000"/>
          <w:sz w:val="24"/>
          <w:highlight w:val="none"/>
        </w:rPr>
        <w:outlineLvl w:val="1"/>
      </w:pPr>
      <w:r>
        <w:rPr>
          <w:rFonts w:hint="eastAsia" w:ascii="宋体" w:hAnsi="宋体"/>
          <w:b/>
          <w:color w:val="000000"/>
          <w:sz w:val="24"/>
          <w:highlight w:val="none"/>
          <w:lang w:val="en-US" w:eastAsia="zh-CN"/>
        </w:rPr>
        <w:t xml:space="preserve">七</w:t>
      </w:r>
      <w:r>
        <w:rPr>
          <w:rFonts w:ascii="宋体" w:hAnsi="宋体"/>
          <w:b/>
          <w:color w:val="000000"/>
          <w:sz w:val="24"/>
          <w:highlight w:val="none"/>
        </w:rPr>
        <w:t xml:space="preserve">、</w:t>
      </w:r>
      <w:r>
        <w:rPr>
          <w:rFonts w:hint="eastAsia" w:ascii="宋体" w:hAnsi="宋体"/>
          <w:b/>
          <w:color w:val="000000"/>
          <w:sz w:val="24"/>
          <w:highlight w:val="none"/>
        </w:rPr>
        <w:t xml:space="preserve">结算方式</w:t>
      </w:r>
      <w:r>
        <w:rPr>
          <w:rFonts w:hint="eastAsia" w:ascii="宋体" w:hAnsi="宋体"/>
          <w:b/>
          <w:color w:val="000000"/>
          <w:sz w:val="24"/>
          <w:highlight w:val="none"/>
        </w:rPr>
      </w:r>
      <w:r/>
    </w:p>
    <w:p>
      <w:pPr>
        <w:pStyle w:val="1122"/>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 结算依据：以双方签字确认的《派车单》《用车验收单》为核心结算依据，结合成交优惠率计算实际费用。</w:t>
      </w:r>
      <w:r>
        <w:rPr>
          <w:rFonts w:hint="eastAsia" w:ascii="宋体" w:hAnsi="宋体"/>
          <w:color w:val="000000"/>
          <w:sz w:val="24"/>
          <w:highlight w:val="none"/>
          <w:lang w:val="en-US" w:eastAsia="zh-CN"/>
        </w:rPr>
      </w:r>
      <w:r/>
    </w:p>
    <w:p>
      <w:pPr>
        <w:pStyle w:val="1122"/>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 结算周期</w:t>
      </w:r>
      <w:r>
        <w:rPr>
          <w:rFonts w:hint="eastAsia" w:ascii="宋体" w:hAnsi="宋体"/>
          <w:color w:val="000000"/>
          <w:sz w:val="24"/>
          <w:highlight w:val="none"/>
          <w:lang w:val="en-US" w:eastAsia="zh-CN"/>
        </w:rPr>
      </w:r>
      <w:r/>
    </w:p>
    <w:p>
      <w:pPr>
        <w:pStyle w:val="1122"/>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（1）自行车队用车费用：按月结算。供应商每月5日前向甲方提交上月用车清单、《用车验收单》及合法有效的发票，甲方自收到完整资料并审核无误后15个工作日内支付。</w:t>
      </w:r>
      <w:r>
        <w:rPr>
          <w:rFonts w:hint="eastAsia" w:ascii="宋体" w:hAnsi="宋体"/>
          <w:color w:val="000000"/>
          <w:sz w:val="24"/>
          <w:highlight w:val="none"/>
          <w:lang w:val="en-US" w:eastAsia="zh-CN"/>
        </w:rPr>
      </w:r>
      <w:r/>
    </w:p>
    <w:p>
      <w:pPr>
        <w:pStyle w:val="1122"/>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（2）其他用车费用：按次结算。每次用车结束后，供应商向甲方提交当次用车清单、《用车验收单》及合法有效的发票，甲方自收到完整资料并审核无误后15个工作日内支付。</w:t>
      </w:r>
      <w:r>
        <w:rPr>
          <w:rFonts w:hint="eastAsia" w:ascii="宋体" w:hAnsi="宋体"/>
          <w:color w:val="000000"/>
          <w:sz w:val="24"/>
          <w:highlight w:val="none"/>
          <w:lang w:val="en-US" w:eastAsia="zh-CN"/>
        </w:rPr>
      </w:r>
      <w:r/>
    </w:p>
    <w:p>
      <w:pPr>
        <w:pStyle w:val="1122"/>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 </w:t>
      </w:r>
      <w:r>
        <w:rPr>
          <w:rFonts w:hint="eastAsia" w:ascii="宋体" w:hAnsi="宋体"/>
          <w:color w:val="000000"/>
          <w:sz w:val="24"/>
          <w:highlight w:val="none"/>
          <w:lang w:val="en-US" w:eastAsia="zh-CN"/>
        </w:rPr>
        <w:t xml:space="preserve">发票要求：供应商需提供增值税普通发票或增值税专用发票（具体由甲方指定），发票项目名称为“运输服务或客运服务”，发票内容需与实际服务内容一致。</w:t>
      </w:r>
      <w:r>
        <w:rPr>
          <w:rFonts w:hint="eastAsia" w:ascii="宋体" w:hAnsi="宋体"/>
          <w:color w:val="000000"/>
          <w:sz w:val="24"/>
          <w:highlight w:val="none"/>
          <w:lang w:val="en-US" w:eastAsia="zh-CN"/>
        </w:rPr>
      </w:r>
      <w:r/>
    </w:p>
    <w:p>
      <w:pPr>
        <w:pStyle w:val="1122"/>
        <w:ind w:firstLine="480"/>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 费用扣减：如遇疫情、极端天气等不可抗力因素导致用车暂停或临时取消的，甲方不支付相应费用；因供应商原因导致用车取消或服务中断的，甲方有权扣减相应费用，并追究供应商违约责任。</w:t>
      </w:r>
      <w:r>
        <w:rPr>
          <w:rFonts w:ascii="宋体" w:hAnsi="宋体"/>
          <w:color w:val="000000"/>
          <w:sz w:val="24"/>
          <w:highlight w:val="none"/>
          <w:lang w:val="en-US" w:eastAsia="zh-CN"/>
        </w:rPr>
      </w:r>
      <w:r/>
    </w:p>
    <w:p>
      <w:pPr>
        <w:pStyle w:val="1122"/>
        <w:jc w:val="center"/>
        <w:spacing w:line="360" w:lineRule="auto"/>
        <w:rPr>
          <w:b/>
          <w:color w:val="000000"/>
          <w:sz w:val="36"/>
          <w:szCs w:val="36"/>
          <w:highlight w:val="none"/>
        </w:rPr>
        <w:outlineLvl w:val="0"/>
      </w:pPr>
      <w:r>
        <w:rPr>
          <w:b/>
          <w:color w:val="000000"/>
          <w:sz w:val="36"/>
          <w:szCs w:val="36"/>
          <w:highlight w:val="none"/>
        </w:rPr>
        <w:br w:type="page" w:clear="all"/>
      </w:r>
      <w:bookmarkStart w:id="677" w:name="_Toc20934"/>
      <w:r>
        <w:rPr>
          <w:b/>
          <w:color w:val="000000"/>
          <w:sz w:val="36"/>
          <w:szCs w:val="36"/>
          <w:highlight w:val="none"/>
        </w:rPr>
        <w:t xml:space="preserve">第五章   合同草案条款</w:t>
      </w:r>
      <w:bookmarkEnd w:id="677"/>
      <w:r>
        <w:rPr>
          <w:b/>
          <w:color w:val="000000"/>
          <w:sz w:val="36"/>
          <w:szCs w:val="36"/>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甲方：（买方）_______________</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乙方：（卖方）_______________</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val="en-US" w:eastAsia="zh-CN"/>
        </w:rPr>
        <w:t xml:space="preserve">常州盈泰招标有限公司</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w:t>
      </w:r>
      <w:r>
        <w:rPr>
          <w:rFonts w:hint="eastAsia" w:ascii="宋体" w:hAnsi="宋体" w:cs="Courier New"/>
          <w:color w:val="000000"/>
          <w:sz w:val="24"/>
          <w:szCs w:val="24"/>
          <w:highlight w:val="none"/>
          <w:lang w:val="en-US" w:eastAsia="zh-CN"/>
        </w:rPr>
        <w:t xml:space="preserve">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 </w:t>
      </w:r>
      <w:r>
        <w:rPr>
          <w:rFonts w:hint="eastAsia" w:ascii="宋体" w:hAnsi="宋体" w:cs="Courier New"/>
          <w:color w:val="000000"/>
          <w:sz w:val="24"/>
          <w:szCs w:val="24"/>
          <w:highlight w:val="none"/>
        </w:rPr>
        <w:t xml:space="preserve">标的质量：</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rFonts w:hint="eastAsia" w:ascii="宋体" w:hAnsi="宋体" w:cs="Courier New"/>
          <w:color w:val="000000"/>
          <w:sz w:val="24"/>
          <w:szCs w:val="24"/>
          <w:highlight w:val="none"/>
        </w:rPr>
      </w:r>
      <w:r/>
    </w:p>
    <w:p>
      <w:pPr>
        <w:pStyle w:val="1122"/>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rFonts w:hint="eastAsia" w:ascii="Times New Roman" w:hAnsi="Times New Roman" w:eastAsia="宋体" w:cs="Times New Roman"/>
          <w:color w:val="000000"/>
          <w:sz w:val="24"/>
          <w:highlight w:val="none"/>
          <w:lang w:val="en-US" w:eastAsia="zh-CN"/>
        </w:rPr>
        <w:t xml:space="preserve">自合同签订生效之日起12个月，或至采购预算对应的租赁服务金额（人民币壹佰贰拾万元整）使用完毕，两者以先到为准。</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eastAsia="宋体" w:cs="Courier New"/>
          <w:color w:val="000000"/>
          <w:sz w:val="24"/>
          <w:szCs w:val="24"/>
          <w:highlight w:val="none"/>
          <w:lang w:eastAsia="zh-CN"/>
        </w:rPr>
      </w:pPr>
      <w:r>
        <w:rPr>
          <w:rFonts w:hint="eastAsia" w:ascii="宋体" w:hAnsi="宋体" w:cs="Courier New"/>
          <w:color w:val="000000"/>
          <w:sz w:val="24"/>
          <w:szCs w:val="24"/>
          <w:highlight w:val="none"/>
        </w:rPr>
        <w:t xml:space="preserve">1.5 履行地点：</w:t>
      </w:r>
      <w:r>
        <w:rPr>
          <w:rFonts w:hint="eastAsia" w:ascii="宋体" w:hAnsi="宋体" w:cs="Courier New"/>
          <w:color w:val="000000"/>
          <w:sz w:val="24"/>
          <w:szCs w:val="24"/>
          <w:highlight w:val="none"/>
          <w:lang w:val="en-US" w:eastAsia="zh-CN"/>
        </w:rPr>
        <w:t xml:space="preserve">国内</w:t>
      </w:r>
      <w:r>
        <w:rPr>
          <w:rFonts w:hint="eastAsia" w:ascii="宋体" w:hAnsi="宋体" w:eastAsia="宋体" w:cs="Courier New"/>
          <w:color w:val="000000"/>
          <w:sz w:val="24"/>
          <w:szCs w:val="24"/>
          <w:highlight w:val="none"/>
          <w:lang w:eastAsia="zh-CN"/>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 </w:t>
      </w:r>
      <w:r>
        <w:rPr>
          <w:rFonts w:hint="eastAsia" w:ascii="宋体" w:hAnsi="宋体" w:cs="Courier New"/>
          <w:color w:val="000000"/>
          <w:sz w:val="24"/>
          <w:szCs w:val="24"/>
          <w:highlight w:val="none"/>
        </w:rPr>
        <w:t xml:space="preserve">履行方式：随租随用</w:t>
      </w:r>
      <w:r>
        <w:rPr>
          <w:rFonts w:hint="eastAsia"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本合同</w:t>
      </w:r>
      <w:r>
        <w:rPr>
          <w:rFonts w:hint="eastAsia" w:ascii="宋体" w:hAnsi="宋体" w:cs="Courier New"/>
          <w:color w:val="000000"/>
          <w:sz w:val="24"/>
          <w:szCs w:val="24"/>
          <w:highlight w:val="none"/>
          <w:lang w:eastAsia="zh-CN"/>
        </w:rPr>
        <w:t xml:space="preserve">优惠率</w:t>
      </w:r>
      <w:r>
        <w:rPr>
          <w:rFonts w:ascii="宋体" w:hAnsi="宋体" w:cs="Courier New"/>
          <w:color w:val="000000"/>
          <w:sz w:val="24"/>
          <w:szCs w:val="24"/>
          <w:highlight w:val="none"/>
        </w:rPr>
        <w:t xml:space="preserve">为（</w:t>
      </w:r>
      <w:r>
        <w:rPr>
          <w:rFonts w:hint="eastAsia" w:ascii="宋体" w:hAnsi="宋体" w:cs="Courier New"/>
          <w:color w:val="000000"/>
          <w:sz w:val="24"/>
          <w:szCs w:val="24"/>
          <w:highlight w:val="none"/>
        </w:rPr>
        <w:t xml:space="preserve">小</w:t>
      </w:r>
      <w:r>
        <w:rPr>
          <w:rFonts w:ascii="宋体" w:hAnsi="宋体" w:cs="Courier New"/>
          <w:color w:val="000000"/>
          <w:sz w:val="24"/>
          <w:szCs w:val="24"/>
          <w:highlight w:val="none"/>
        </w:rPr>
        <w:t xml:space="preserve">写）：_________（</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w:t>
      </w:r>
      <w:r>
        <w:rPr>
          <w:rFonts w:hint="eastAsia" w:ascii="宋体" w:hAnsi="宋体" w:cs="Courier New"/>
          <w:color w:val="000000"/>
          <w:sz w:val="24"/>
          <w:szCs w:val="24"/>
          <w:highlight w:val="none"/>
          <w:lang w:val="en-US" w:eastAsia="zh-CN"/>
        </w:rPr>
        <w:t xml:space="preserve">磋商文件</w:t>
      </w:r>
      <w:r>
        <w:rPr>
          <w:rFonts w:ascii="宋体" w:hAnsi="宋体" w:cs="Courier New"/>
          <w:color w:val="000000"/>
          <w:sz w:val="24"/>
          <w:szCs w:val="24"/>
          <w:highlight w:val="none"/>
        </w:rPr>
        <w:t xml:space="preserve">规定的时间向甲方提供</w:t>
      </w:r>
      <w:r>
        <w:rPr>
          <w:rFonts w:hint="eastAsia" w:ascii="宋体" w:hAnsi="宋体" w:cs="Courier New"/>
          <w:color w:val="000000"/>
          <w:sz w:val="24"/>
          <w:szCs w:val="24"/>
          <w:highlight w:val="none"/>
        </w:rPr>
        <w:t xml:space="preserve">与合同标的</w:t>
      </w:r>
      <w:r>
        <w:rPr>
          <w:rFonts w:ascii="宋体" w:hAnsi="宋体" w:cs="Courier New"/>
          <w:color w:val="000000"/>
          <w:sz w:val="24"/>
          <w:szCs w:val="24"/>
          <w:highlight w:val="none"/>
        </w:rPr>
        <w:t xml:space="preserve">有关的技术资料。</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w:t>
      </w:r>
      <w:r>
        <w:rPr>
          <w:rFonts w:hint="eastAsia" w:ascii="宋体" w:hAnsi="宋体" w:cs="Courier New"/>
          <w:color w:val="000000"/>
          <w:sz w:val="24"/>
          <w:szCs w:val="24"/>
          <w:highlight w:val="none"/>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rFonts w:ascii="宋体" w:hAnsi="宋体" w:cs="Courier New"/>
          <w:color w:val="000000"/>
          <w:sz w:val="24"/>
          <w:szCs w:val="24"/>
          <w:highlight w:val="none"/>
          <w:u w:val="singl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乙方保证所交付的</w:t>
      </w:r>
      <w:r>
        <w:rPr>
          <w:rFonts w:hint="eastAsia" w:ascii="宋体" w:hAnsi="宋体" w:cs="Courier New"/>
          <w:color w:val="000000"/>
          <w:sz w:val="24"/>
          <w:szCs w:val="24"/>
          <w:highlight w:val="none"/>
        </w:rPr>
        <w:t xml:space="preserve">合同标的</w:t>
      </w:r>
      <w:r>
        <w:rPr>
          <w:rFonts w:ascii="宋体" w:hAnsi="宋体" w:cs="Courier New"/>
          <w:color w:val="000000"/>
          <w:sz w:val="24"/>
          <w:szCs w:val="24"/>
          <w:highlight w:val="none"/>
        </w:rPr>
        <w:t xml:space="preserve">的所有权完全属于乙方且无任何抵押、查封等产权瑕疵。</w:t>
      </w:r>
      <w:r>
        <w:rPr>
          <w:rFonts w:ascii="宋体" w:hAnsi="宋体" w:cs="Courier New"/>
          <w:color w:val="000000"/>
          <w:sz w:val="24"/>
          <w:szCs w:val="24"/>
          <w:highlight w:val="none"/>
          <w:u w:val="singl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rFonts w:ascii="宋体" w:hAnsi="宋体" w:cs="Courier New"/>
          <w:b/>
          <w:color w:val="000000"/>
          <w:sz w:val="24"/>
          <w:szCs w:val="24"/>
          <w:highlight w:val="none"/>
        </w:rPr>
      </w:r>
      <w:r/>
    </w:p>
    <w:p>
      <w:pPr>
        <w:pStyle w:val="13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本项目不要求缴纳履约保证金。</w:t>
      </w:r>
      <w:r>
        <w:rPr>
          <w:rFonts w:hint="eastAsia" w:hAnsi="宋体"/>
          <w:color w:val="000000"/>
          <w:sz w:val="24"/>
          <w:szCs w:val="24"/>
          <w:highlight w:val="none"/>
        </w:rPr>
      </w:r>
      <w:r/>
    </w:p>
    <w:p>
      <w:pPr>
        <w:pStyle w:val="1122"/>
        <w:ind w:left="0" w:firstLine="482"/>
        <w:keepLines w:val="0"/>
        <w:keepNext w:val="0"/>
        <w:pageBreakBefore w:val="0"/>
        <w:spacing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乙方不得将合同标的分包给他人履行。</w:t>
      </w:r>
      <w:r>
        <w:rPr>
          <w:rFonts w:hint="eastAsia" w:ascii="宋体" w:hAnsi="宋体"/>
          <w:color w:val="000000"/>
          <w:sz w:val="24"/>
          <w:szCs w:val="24"/>
          <w:highlight w:val="none"/>
        </w:rPr>
      </w:r>
      <w:r/>
    </w:p>
    <w:p>
      <w:pPr>
        <w:pStyle w:val="1122"/>
        <w:ind w:left="0" w:firstLine="480"/>
        <w:keepLines w:val="0"/>
        <w:keepNext w:val="0"/>
        <w:pageBreakBefore w:val="0"/>
        <w:spacing w:line="360" w:lineRule="auto"/>
        <w:widowControl w:val="off"/>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122"/>
        <w:ind w:left="0" w:firstLine="482"/>
        <w:keepLines w:val="0"/>
        <w:keepNext w:val="0"/>
        <w:pageBreakBefore w:val="0"/>
        <w:spacing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结算方式</w:t>
      </w:r>
      <w:r>
        <w:rPr>
          <w:rFonts w:hint="eastAsia" w:ascii="宋体" w:hAnsi="宋体" w:cs="Courier New"/>
          <w:b/>
          <w:color w:val="000000"/>
          <w:sz w:val="24"/>
          <w:szCs w:val="24"/>
          <w:highlight w:val="none"/>
        </w:rPr>
      </w:r>
      <w:r/>
    </w:p>
    <w:p>
      <w:pPr>
        <w:pStyle w:val="1122"/>
        <w:ind w:left="0"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结算方式为根据使用车辆的规格和实际使用趟数据实结算，如遇疫情、天气等原因暂停或临时取消用车的，采购方不支付任何费用。</w:t>
      </w:r>
      <w:r>
        <w:rPr>
          <w:rFonts w:hint="eastAsia" w:ascii="宋体" w:hAnsi="宋体" w:eastAsia="宋体" w:cs="宋体"/>
          <w:bCs/>
          <w:color w:val="000000"/>
          <w:sz w:val="24"/>
          <w:szCs w:val="24"/>
          <w:highlight w:val="none"/>
        </w:rPr>
      </w:r>
      <w:r/>
    </w:p>
    <w:p>
      <w:pPr>
        <w:pStyle w:val="1122"/>
        <w:ind w:left="0"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自行车队用车费用按月结算，供应商需提供当月用车清单、验收单及普通增值税发票，采购方自收到发票后</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个工作日内支付。</w:t>
      </w:r>
      <w:r>
        <w:rPr>
          <w:rFonts w:hint="eastAsia" w:ascii="宋体" w:hAnsi="宋体" w:eastAsia="宋体" w:cs="宋体"/>
          <w:bCs/>
          <w:color w:val="000000"/>
          <w:sz w:val="24"/>
          <w:szCs w:val="24"/>
          <w:highlight w:val="none"/>
        </w:rPr>
      </w:r>
      <w:r/>
    </w:p>
    <w:p>
      <w:pPr>
        <w:pStyle w:val="1122"/>
        <w:ind w:left="0"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其他用车费用按次结算，每次用车结束，供应商提供当次用车清单、验收单普通增值税发票，采购方自收到发票后</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个工作日内支付。</w:t>
      </w:r>
      <w:r>
        <w:rPr>
          <w:rFonts w:hint="eastAsia" w:ascii="宋体" w:hAnsi="宋体" w:eastAsia="宋体" w:cs="宋体"/>
          <w:bCs/>
          <w:color w:val="000000"/>
          <w:sz w:val="24"/>
          <w:szCs w:val="24"/>
          <w:highlight w:val="none"/>
        </w:rPr>
      </w:r>
      <w:r/>
    </w:p>
    <w:p>
      <w:pPr>
        <w:pStyle w:val="1122"/>
        <w:ind w:left="0" w:firstLine="482"/>
        <w:keepLines w:val="0"/>
        <w:keepNext w:val="0"/>
        <w:pageBreakBefore w:val="0"/>
        <w:spacing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1122"/>
        <w:ind w:left="0" w:firstLine="480"/>
        <w:keepLines w:val="0"/>
        <w:keepNext w:val="0"/>
        <w:pageBreakBefore w:val="0"/>
        <w:spacing w:line="360" w:lineRule="auto"/>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lang w:val="en-US" w:eastAsia="zh-CN"/>
        </w:rPr>
        <w:t xml:space="preserve">中华人民共和国</w:t>
      </w:r>
      <w:r>
        <w:rPr>
          <w:rFonts w:hint="eastAsia" w:ascii="宋体" w:hAnsi="宋体" w:cs="Courier New"/>
          <w:color w:val="000000"/>
          <w:sz w:val="24"/>
          <w:szCs w:val="24"/>
          <w:highlight w:val="none"/>
        </w:rPr>
        <w:t xml:space="preserve">民法典》。乙方在履约过程中有政府采购法律法规规定的违法违规情形的,甲方将及时报告本级财政部门。</w:t>
      </w:r>
      <w:r>
        <w:rPr>
          <w:rFonts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、违约责任</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.1 甲方无正当理由</w:t>
      </w:r>
      <w:r>
        <w:rPr>
          <w:rFonts w:hint="eastAsia" w:ascii="宋体" w:hAnsi="宋体" w:cs="Courier New"/>
          <w:color w:val="000000"/>
          <w:sz w:val="24"/>
          <w:szCs w:val="24"/>
          <w:highlight w:val="none"/>
        </w:rPr>
        <w:t xml:space="preserve">拒绝接受乙方提供的合同标</w:t>
      </w:r>
      <w:r>
        <w:rPr>
          <w:rFonts w:ascii="宋体" w:hAnsi="宋体" w:cs="Courier New"/>
          <w:color w:val="000000"/>
          <w:sz w:val="24"/>
          <w:szCs w:val="24"/>
          <w:highlight w:val="none"/>
        </w:rPr>
        <w:t xml:space="preserve">的，甲方向乙方偿付</w:t>
      </w:r>
      <w:r>
        <w:rPr>
          <w:rFonts w:hint="eastAsia" w:ascii="宋体" w:hAnsi="宋体" w:cs="Courier New"/>
          <w:color w:val="000000"/>
          <w:sz w:val="24"/>
          <w:szCs w:val="24"/>
          <w:highlight w:val="none"/>
        </w:rPr>
        <w:t xml:space="preserve">拒绝接受合同价款</w:t>
      </w:r>
      <w:r>
        <w:rPr>
          <w:rFonts w:ascii="宋体" w:hAnsi="宋体" w:cs="Courier New"/>
          <w:color w:val="000000"/>
          <w:sz w:val="24"/>
          <w:szCs w:val="24"/>
          <w:highlight w:val="none"/>
        </w:rPr>
        <w:t xml:space="preserve">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.2 甲方无故逾期验收和办理</w:t>
      </w:r>
      <w:r>
        <w:rPr>
          <w:rFonts w:hint="eastAsia" w:ascii="宋体" w:hAnsi="宋体" w:cs="Courier New"/>
          <w:color w:val="000000"/>
          <w:sz w:val="24"/>
          <w:szCs w:val="24"/>
          <w:highlight w:val="none"/>
        </w:rPr>
        <w:t xml:space="preserve">合同款项</w:t>
      </w:r>
      <w:r>
        <w:rPr>
          <w:rFonts w:ascii="宋体" w:hAnsi="宋体" w:cs="Courier New"/>
          <w:color w:val="000000"/>
          <w:sz w:val="24"/>
          <w:szCs w:val="24"/>
          <w:highlight w:val="none"/>
        </w:rPr>
        <w:t xml:space="preserve">支付手续的,甲方应按逾期付款总额</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每日向乙方支付违约金。</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.3 乙方逾期</w:t>
      </w:r>
      <w:r>
        <w:rPr>
          <w:rFonts w:hint="eastAsia" w:ascii="宋体" w:hAnsi="宋体" w:cs="Courier New"/>
          <w:color w:val="000000"/>
          <w:sz w:val="24"/>
          <w:szCs w:val="24"/>
          <w:highlight w:val="none"/>
        </w:rPr>
        <w:t xml:space="preserve">交付合同标的</w:t>
      </w:r>
      <w:r>
        <w:rPr>
          <w:rFonts w:ascii="宋体" w:hAnsi="宋体" w:cs="Courier New"/>
          <w:color w:val="000000"/>
          <w:sz w:val="24"/>
          <w:szCs w:val="24"/>
          <w:highlight w:val="none"/>
        </w:rPr>
        <w:t xml:space="preserve">的，乙方应按逾期</w:t>
      </w:r>
      <w:r>
        <w:rPr>
          <w:rFonts w:hint="eastAsia" w:ascii="宋体" w:hAnsi="宋体" w:cs="Courier New"/>
          <w:color w:val="000000"/>
          <w:sz w:val="24"/>
          <w:szCs w:val="24"/>
          <w:highlight w:val="none"/>
        </w:rPr>
        <w:t xml:space="preserve">交付合同</w:t>
      </w:r>
      <w:r>
        <w:rPr>
          <w:rFonts w:ascii="宋体" w:hAnsi="宋体" w:cs="Courier New"/>
          <w:color w:val="000000"/>
          <w:sz w:val="24"/>
          <w:szCs w:val="24"/>
          <w:highlight w:val="none"/>
        </w:rPr>
        <w:t xml:space="preserve">总额每日千分之六向甲方支付违约金，由甲方从待付</w:t>
      </w:r>
      <w:r>
        <w:rPr>
          <w:rFonts w:hint="eastAsia" w:ascii="宋体" w:hAnsi="宋体" w:cs="Courier New"/>
          <w:color w:val="000000"/>
          <w:sz w:val="24"/>
          <w:szCs w:val="24"/>
          <w:highlight w:val="none"/>
        </w:rPr>
        <w:t xml:space="preserve">合同款项</w:t>
      </w:r>
      <w:r>
        <w:rPr>
          <w:rFonts w:ascii="宋体" w:hAnsi="宋体" w:cs="Courier New"/>
          <w:color w:val="000000"/>
          <w:sz w:val="24"/>
          <w:szCs w:val="24"/>
          <w:highlight w:val="none"/>
        </w:rPr>
        <w:t xml:space="preserve">中扣除。逾期超过约定日期10个工作日不能</w:t>
      </w:r>
      <w:r>
        <w:rPr>
          <w:rFonts w:hint="eastAsia" w:ascii="宋体" w:hAnsi="宋体" w:cs="Courier New"/>
          <w:color w:val="000000"/>
          <w:sz w:val="24"/>
          <w:szCs w:val="24"/>
          <w:highlight w:val="none"/>
        </w:rPr>
        <w:t xml:space="preserve">交付合同标的</w:t>
      </w:r>
      <w:r>
        <w:rPr>
          <w:rFonts w:ascii="宋体" w:hAnsi="宋体" w:cs="Courier New"/>
          <w:color w:val="000000"/>
          <w:sz w:val="24"/>
          <w:szCs w:val="24"/>
          <w:highlight w:val="none"/>
        </w:rPr>
        <w:t xml:space="preserve">的，甲方可解除本合同。乙方因逾期</w:t>
      </w:r>
      <w:r>
        <w:rPr>
          <w:rFonts w:hint="eastAsia" w:ascii="宋体" w:hAnsi="宋体" w:cs="Courier New"/>
          <w:color w:val="000000"/>
          <w:sz w:val="24"/>
          <w:szCs w:val="24"/>
          <w:highlight w:val="none"/>
        </w:rPr>
        <w:t xml:space="preserve">交付合同标的</w:t>
      </w:r>
      <w:r>
        <w:rPr>
          <w:rFonts w:ascii="宋体" w:hAnsi="宋体" w:cs="Courier New"/>
          <w:color w:val="000000"/>
          <w:sz w:val="24"/>
          <w:szCs w:val="24"/>
          <w:highlight w:val="none"/>
        </w:rPr>
        <w:t xml:space="preserve">或因其他违约行为导致甲方解除合同的，乙方应向甲方支付合同</w:t>
      </w:r>
      <w:r>
        <w:rPr>
          <w:rFonts w:hint="eastAsia" w:ascii="宋体" w:hAnsi="宋体" w:cs="Courier New"/>
          <w:color w:val="000000"/>
          <w:sz w:val="24"/>
          <w:szCs w:val="24"/>
          <w:highlight w:val="none"/>
        </w:rPr>
        <w:t xml:space="preserve">价款总额</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的违约金，如造成甲方损失超过违约金的，超出部分由乙方继续承担赔偿责任。 </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.4 乙方</w:t>
      </w:r>
      <w:r>
        <w:rPr>
          <w:rFonts w:hint="eastAsia" w:ascii="宋体" w:hAnsi="宋体" w:cs="Courier New"/>
          <w:color w:val="000000"/>
          <w:sz w:val="24"/>
          <w:szCs w:val="24"/>
          <w:highlight w:val="none"/>
        </w:rPr>
        <w:t xml:space="preserve">交付合同标的的标准</w:t>
      </w:r>
      <w:r>
        <w:rPr>
          <w:rFonts w:ascii="宋体" w:hAnsi="宋体" w:cs="Courier New"/>
          <w:color w:val="000000"/>
          <w:sz w:val="24"/>
          <w:szCs w:val="24"/>
          <w:highlight w:val="none"/>
        </w:rPr>
        <w:t xml:space="preserve">不符合合同规定及</w:t>
      </w:r>
      <w:r>
        <w:rPr>
          <w:rFonts w:hint="eastAsia" w:ascii="宋体" w:hAnsi="宋体" w:cs="Courier New"/>
          <w:color w:val="000000"/>
          <w:sz w:val="24"/>
          <w:szCs w:val="24"/>
          <w:highlight w:val="none"/>
        </w:rPr>
        <w:t xml:space="preserve">谈判</w:t>
      </w:r>
      <w:r>
        <w:rPr>
          <w:rFonts w:ascii="宋体" w:hAnsi="宋体" w:cs="Courier New"/>
          <w:color w:val="000000"/>
          <w:sz w:val="24"/>
          <w:szCs w:val="24"/>
          <w:highlight w:val="none"/>
        </w:rPr>
        <w:t xml:space="preserve">文件规定标准的，甲方有权</w:t>
      </w:r>
      <w:r>
        <w:rPr>
          <w:rFonts w:hint="eastAsia" w:ascii="宋体" w:hAnsi="宋体" w:cs="Courier New"/>
          <w:color w:val="000000"/>
          <w:sz w:val="24"/>
          <w:szCs w:val="24"/>
          <w:highlight w:val="none"/>
        </w:rPr>
        <w:t xml:space="preserve">拒绝接受合同标的</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并</w:t>
      </w:r>
      <w:r>
        <w:rPr>
          <w:rFonts w:ascii="宋体" w:hAnsi="宋体" w:cs="Courier New"/>
          <w:color w:val="000000"/>
          <w:sz w:val="24"/>
          <w:szCs w:val="24"/>
          <w:highlight w:val="none"/>
        </w:rPr>
        <w:t xml:space="preserve">可单方面解除合同。</w:t>
      </w:r>
      <w:r>
        <w:rPr>
          <w:rFonts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、不可抗力事件处理</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期相同。</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不可抗力事件发生后，应立即通知对方，并寄送有关权威机构出具的证明。</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不可抗力事件延续120天以上，双方应通过友好协商，确定是否继续履行合同。</w:t>
      </w:r>
      <w:r>
        <w:rPr>
          <w:rFonts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cs="Courier New"/>
          <w:color w:val="000000"/>
          <w:sz w:val="24"/>
          <w:szCs w:val="24"/>
          <w:highlight w:val="none"/>
        </w:rPr>
      </w:r>
      <w:r/>
    </w:p>
    <w:p>
      <w:pPr>
        <w:pStyle w:val="1122"/>
        <w:ind w:lef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、合同生效及其它</w:t>
      </w:r>
      <w:r>
        <w:rPr>
          <w:rFonts w:ascii="宋体" w:hAnsi="宋体" w:cs="Courier New"/>
          <w:b/>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中华人民共和国</w:t>
      </w:r>
      <w:r>
        <w:rPr>
          <w:rFonts w:hint="eastAsia" w:ascii="宋体" w:hAnsi="宋体" w:cs="Courier New"/>
          <w:color w:val="000000"/>
          <w:sz w:val="24"/>
          <w:szCs w:val="24"/>
          <w:highlight w:val="none"/>
        </w:rPr>
        <w:t xml:space="preserve">民法典》</w:t>
      </w:r>
      <w:r>
        <w:rPr>
          <w:rFonts w:ascii="宋体" w:hAnsi="宋体" w:cs="Courier New"/>
          <w:color w:val="000000"/>
          <w:sz w:val="24"/>
          <w:szCs w:val="24"/>
          <w:highlight w:val="none"/>
        </w:rPr>
        <w:t xml:space="preserve">有关条文执行。</w:t>
      </w:r>
      <w:r>
        <w:rPr>
          <w:rFonts w:ascii="宋体" w:hAnsi="宋体" w:cs="Courier New"/>
          <w:color w:val="000000"/>
          <w:sz w:val="24"/>
          <w:szCs w:val="24"/>
          <w:highlight w:val="none"/>
        </w:rPr>
      </w:r>
      <w:r/>
    </w:p>
    <w:p>
      <w:pPr>
        <w:pStyle w:val="1122"/>
        <w:ind w:lef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rPr>
          <w:rFonts w:ascii="宋体" w:hAnsi="宋体" w:cs="Courier New"/>
          <w:color w:val="000000"/>
          <w:sz w:val="24"/>
          <w:szCs w:val="24"/>
          <w:highlight w:val="none"/>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盖章页：</w:t>
      </w:r>
      <w:r>
        <w:rPr>
          <w:rFonts w:hint="eastAsia" w:ascii="宋体" w:hAnsi="宋体" w:eastAsia="宋体" w:cs="宋体"/>
          <w:color w:val="000000"/>
          <w:sz w:val="24"/>
          <w:szCs w:val="24"/>
          <w:highlight w:val="none"/>
          <w:lang w:val="en-US" w:eastAsia="zh-CN"/>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22"/>
        <w:ind w:lef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138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1"/>
        <w:gridCol w:w="4621"/>
      </w:tblGrid>
      <w:tr>
        <w:trPr/>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甲方：</w:t>
            </w:r>
            <w:r>
              <w:rPr>
                <w:rFonts w:hint="eastAsia" w:ascii="宋体" w:hAnsi="宋体" w:eastAsia="宋体" w:cs="宋体"/>
                <w:color w:val="000000"/>
                <w:sz w:val="24"/>
                <w:szCs w:val="24"/>
                <w:highlight w:val="none"/>
                <w:vertAlign w:val="baseline"/>
                <w:lang w:val="en-US" w:eastAsia="zh-CN"/>
              </w:rPr>
              <w:t xml:space="preserve">   </w:t>
            </w:r>
            <w:r>
              <w:rPr>
                <w:rFonts w:hint="eastAsia" w:ascii="宋体" w:hAnsi="宋体" w:eastAsia="宋体" w:cs="宋体"/>
                <w:color w:val="000000"/>
                <w:sz w:val="24"/>
                <w:szCs w:val="24"/>
                <w:highlight w:val="none"/>
                <w:vertAlign w:val="baseline"/>
              </w:rPr>
              <w:t xml:space="preserve">（签章）</w:t>
            </w:r>
            <w:r>
              <w:rPr>
                <w:rFonts w:hint="eastAsia" w:ascii="宋体" w:hAnsi="宋体" w:eastAsia="宋体" w:cs="宋体"/>
                <w:color w:val="000000"/>
                <w:sz w:val="24"/>
                <w:szCs w:val="24"/>
                <w:highlight w:val="none"/>
                <w:vertAlign w:val="baseline"/>
              </w:rPr>
            </w:r>
            <w:r/>
          </w:p>
        </w:tc>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乙方：</w:t>
            </w:r>
            <w:r>
              <w:rPr>
                <w:rFonts w:hint="eastAsia" w:ascii="宋体" w:hAnsi="宋体" w:eastAsia="宋体" w:cs="宋体"/>
                <w:color w:val="000000"/>
                <w:sz w:val="24"/>
                <w:szCs w:val="24"/>
                <w:highlight w:val="none"/>
                <w:vertAlign w:val="baseline"/>
                <w:lang w:val="en-US" w:eastAsia="zh-CN"/>
              </w:rPr>
              <w:t xml:space="preserve">   </w:t>
            </w:r>
            <w:r>
              <w:rPr>
                <w:rFonts w:hint="eastAsia" w:ascii="宋体" w:hAnsi="宋体" w:eastAsia="宋体" w:cs="宋体"/>
                <w:color w:val="000000"/>
                <w:sz w:val="24"/>
                <w:szCs w:val="24"/>
                <w:highlight w:val="none"/>
                <w:vertAlign w:val="baseline"/>
              </w:rPr>
              <w:t xml:space="preserve">（签章）</w:t>
            </w:r>
            <w:r>
              <w:rPr>
                <w:rFonts w:hint="eastAsia" w:ascii="宋体" w:hAnsi="宋体" w:eastAsia="宋体" w:cs="宋体"/>
                <w:color w:val="000000"/>
                <w:sz w:val="24"/>
                <w:szCs w:val="24"/>
                <w:highlight w:val="none"/>
                <w:vertAlign w:val="baseline"/>
              </w:rPr>
            </w:r>
            <w:r/>
          </w:p>
        </w:tc>
      </w:tr>
      <w:tr>
        <w:trPr/>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地址：</w:t>
            </w:r>
            <w:r>
              <w:rPr>
                <w:rFonts w:hint="eastAsia" w:ascii="宋体" w:hAnsi="宋体" w:eastAsia="宋体" w:cs="宋体"/>
                <w:color w:val="000000"/>
                <w:sz w:val="24"/>
                <w:szCs w:val="24"/>
                <w:highlight w:val="none"/>
                <w:vertAlign w:val="baseline"/>
              </w:rPr>
            </w:r>
            <w:r/>
          </w:p>
        </w:tc>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地址：</w:t>
            </w:r>
            <w:r>
              <w:rPr>
                <w:rFonts w:hint="eastAsia" w:ascii="宋体" w:hAnsi="宋体" w:eastAsia="宋体" w:cs="宋体"/>
                <w:color w:val="000000"/>
                <w:sz w:val="24"/>
                <w:szCs w:val="24"/>
                <w:highlight w:val="none"/>
                <w:vertAlign w:val="baseline"/>
              </w:rPr>
            </w:r>
            <w:r/>
          </w:p>
        </w:tc>
      </w:tr>
      <w:tr>
        <w:trPr/>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法定代表人：（签章）</w:t>
            </w:r>
            <w:r>
              <w:rPr>
                <w:rFonts w:hint="eastAsia" w:ascii="宋体" w:hAnsi="宋体" w:eastAsia="宋体" w:cs="宋体"/>
                <w:color w:val="000000"/>
                <w:sz w:val="24"/>
                <w:szCs w:val="24"/>
                <w:highlight w:val="none"/>
                <w:vertAlign w:val="baseline"/>
              </w:rPr>
            </w:r>
            <w:r/>
          </w:p>
        </w:tc>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法定代表人：（签章）</w:t>
            </w:r>
            <w:r>
              <w:rPr>
                <w:rFonts w:hint="eastAsia" w:ascii="宋体" w:hAnsi="宋体" w:eastAsia="宋体" w:cs="宋体"/>
                <w:color w:val="000000"/>
                <w:sz w:val="24"/>
                <w:szCs w:val="24"/>
                <w:highlight w:val="none"/>
                <w:vertAlign w:val="baseline"/>
              </w:rPr>
            </w:r>
            <w:r/>
          </w:p>
        </w:tc>
      </w:tr>
      <w:tr>
        <w:trPr/>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开户银行：</w:t>
            </w:r>
            <w:r>
              <w:rPr>
                <w:rFonts w:hint="eastAsia" w:ascii="宋体" w:hAnsi="宋体" w:eastAsia="宋体" w:cs="宋体"/>
                <w:color w:val="000000"/>
                <w:sz w:val="24"/>
                <w:szCs w:val="24"/>
                <w:highlight w:val="none"/>
                <w:vertAlign w:val="baseline"/>
              </w:rPr>
            </w:r>
            <w:r/>
          </w:p>
        </w:tc>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开户银行：</w:t>
            </w:r>
            <w:r>
              <w:rPr>
                <w:rFonts w:hint="eastAsia" w:ascii="宋体" w:hAnsi="宋体" w:eastAsia="宋体" w:cs="宋体"/>
                <w:color w:val="000000"/>
                <w:sz w:val="24"/>
                <w:szCs w:val="24"/>
                <w:highlight w:val="none"/>
                <w:vertAlign w:val="baseline"/>
              </w:rPr>
            </w:r>
            <w:r/>
          </w:p>
        </w:tc>
      </w:tr>
      <w:tr>
        <w:trPr/>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账号：</w:t>
            </w:r>
            <w:r>
              <w:rPr>
                <w:rFonts w:hint="eastAsia" w:ascii="宋体" w:hAnsi="宋体" w:eastAsia="宋体" w:cs="宋体"/>
                <w:color w:val="000000"/>
                <w:sz w:val="24"/>
                <w:szCs w:val="24"/>
                <w:highlight w:val="none"/>
                <w:vertAlign w:val="baseline"/>
              </w:rPr>
            </w:r>
            <w:r/>
          </w:p>
        </w:tc>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账号：</w:t>
            </w:r>
            <w:r>
              <w:rPr>
                <w:rFonts w:hint="eastAsia" w:ascii="宋体" w:hAnsi="宋体" w:eastAsia="宋体" w:cs="宋体"/>
                <w:color w:val="000000"/>
                <w:sz w:val="24"/>
                <w:szCs w:val="24"/>
                <w:highlight w:val="none"/>
                <w:vertAlign w:val="baseline"/>
              </w:rPr>
            </w:r>
            <w:r/>
          </w:p>
        </w:tc>
      </w:tr>
      <w:tr>
        <w:trPr/>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邮编：</w:t>
            </w:r>
            <w:r>
              <w:rPr>
                <w:rFonts w:hint="eastAsia" w:ascii="宋体" w:hAnsi="宋体" w:eastAsia="宋体" w:cs="宋体"/>
                <w:color w:val="000000"/>
                <w:sz w:val="24"/>
                <w:szCs w:val="24"/>
                <w:highlight w:val="none"/>
                <w:vertAlign w:val="baseline"/>
              </w:rPr>
            </w:r>
            <w:r/>
          </w:p>
        </w:tc>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邮编：</w:t>
            </w:r>
            <w:r>
              <w:rPr>
                <w:rFonts w:hint="eastAsia" w:ascii="宋体" w:hAnsi="宋体" w:eastAsia="宋体" w:cs="宋体"/>
                <w:color w:val="000000"/>
                <w:sz w:val="24"/>
                <w:szCs w:val="24"/>
                <w:highlight w:val="none"/>
                <w:vertAlign w:val="baseline"/>
              </w:rPr>
            </w:r>
            <w:r/>
          </w:p>
        </w:tc>
      </w:tr>
      <w:tr>
        <w:trPr/>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电话：</w:t>
            </w:r>
            <w:r>
              <w:rPr>
                <w:rFonts w:hint="eastAsia" w:ascii="宋体" w:hAnsi="宋体" w:eastAsia="宋体" w:cs="宋体"/>
                <w:color w:val="000000"/>
                <w:sz w:val="24"/>
                <w:szCs w:val="24"/>
                <w:highlight w:val="none"/>
                <w:vertAlign w:val="baseline"/>
              </w:rPr>
            </w:r>
            <w:r/>
          </w:p>
        </w:tc>
        <w:tc>
          <w:tcPr>
            <w:tcW w:w="4621" w:type="dxa"/>
            <w:vAlign w:val="center"/>
            <w:textDirection w:val="lrTb"/>
            <w:noWrap w:val="false"/>
          </w:tcPr>
          <w:p>
            <w:pPr>
              <w:pStyle w:val="1122"/>
              <w:jc w:val="both"/>
              <w:spacing w:after="160" w:line="278"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电话：</w:t>
            </w:r>
            <w:r>
              <w:rPr>
                <w:rFonts w:hint="eastAsia" w:ascii="宋体" w:hAnsi="宋体" w:eastAsia="宋体" w:cs="宋体"/>
                <w:color w:val="000000"/>
                <w:sz w:val="24"/>
                <w:szCs w:val="24"/>
                <w:highlight w:val="none"/>
                <w:vertAlign w:val="baseline"/>
              </w:rPr>
            </w:r>
            <w:r/>
          </w:p>
        </w:tc>
      </w:tr>
    </w:tbl>
    <w:p>
      <w:pPr>
        <w:pStyle w:val="1122"/>
        <w:jc w:val="both"/>
        <w:keepLines w:val="0"/>
        <w:keepNext w:val="0"/>
        <w:pageBreakBefore w:val="0"/>
        <w:spacing w:after="160" w:line="400" w:lineRule="exact"/>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pStyle w:val="1122"/>
        <w:jc w:val="both"/>
        <w:keepLines w:val="0"/>
        <w:keepNext w:val="0"/>
        <w:pageBreakBefore w:val="0"/>
        <w:spacing w:after="160" w:line="400" w:lineRule="exact"/>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pStyle w:val="1122"/>
        <w:ind w:firstLine="482"/>
        <w:rPr>
          <w:rFonts w:hint="eastAsia" w:ascii="宋体" w:hAnsi="宋体"/>
          <w:b/>
          <w:bCs/>
          <w:color w:val="000000"/>
          <w:sz w:val="24"/>
          <w:highlight w:val="none"/>
        </w:rPr>
      </w:pPr>
      <w:r>
        <w:rPr>
          <w:rFonts w:hint="eastAsia" w:ascii="宋体" w:hAnsi="宋体"/>
          <w:b/>
          <w:bCs/>
          <w:color w:val="000000"/>
          <w:sz w:val="24"/>
          <w:highlight w:val="none"/>
        </w:rPr>
      </w:r>
      <w:r/>
    </w:p>
    <w:p>
      <w:pPr>
        <w:pStyle w:val="1122"/>
        <w:ind w:firstLine="482"/>
        <w:rPr>
          <w:rFonts w:hint="eastAsia" w:ascii="宋体" w:hAnsi="宋体"/>
          <w:b/>
          <w:bCs/>
          <w:color w:val="000000"/>
          <w:sz w:val="24"/>
          <w:highlight w:val="none"/>
        </w:rPr>
      </w:pPr>
      <w:r>
        <w:rPr>
          <w:rFonts w:hint="eastAsia" w:ascii="宋体" w:hAnsi="宋体"/>
          <w:b/>
          <w:bCs/>
          <w:color w:val="000000"/>
          <w:sz w:val="24"/>
          <w:highlight w:val="none"/>
        </w:rPr>
      </w:r>
      <w:r/>
    </w:p>
    <w:p>
      <w:pPr>
        <w:pStyle w:val="1122"/>
        <w:ind w:firstLine="482"/>
        <w:rPr>
          <w:rFonts w:hint="eastAsia" w:ascii="宋体" w:hAnsi="宋体"/>
          <w:b/>
          <w:bCs/>
          <w:color w:val="000000"/>
          <w:sz w:val="24"/>
          <w:highlight w:val="none"/>
        </w:rPr>
      </w:pPr>
      <w:r>
        <w:rPr>
          <w:rFonts w:hint="eastAsia" w:ascii="宋体" w:hAnsi="宋体"/>
          <w:b/>
          <w:bCs/>
          <w:color w:val="000000"/>
          <w:sz w:val="24"/>
          <w:highlight w:val="none"/>
        </w:rPr>
      </w:r>
      <w:r/>
    </w:p>
    <w:p>
      <w:pPr>
        <w:pStyle w:val="1122"/>
        <w:ind w:firstLine="482"/>
        <w:rPr>
          <w:rFonts w:hint="eastAsia" w:ascii="宋体" w:hAnsi="宋体"/>
          <w:b/>
          <w:bCs/>
          <w:color w:val="000000"/>
          <w:sz w:val="24"/>
          <w:highlight w:val="none"/>
        </w:rPr>
      </w:pPr>
      <w:r>
        <w:rPr>
          <w:rFonts w:hint="eastAsia" w:ascii="宋体" w:hAnsi="宋体"/>
          <w:b/>
          <w:bCs/>
          <w:color w:val="000000"/>
          <w:sz w:val="24"/>
          <w:highlight w:val="none"/>
        </w:rPr>
      </w:r>
      <w:r/>
    </w:p>
    <w:p>
      <w:pPr>
        <w:pStyle w:val="1122"/>
        <w:jc w:val="both"/>
        <w:keepLines w:val="0"/>
        <w:keepNext w:val="0"/>
        <w:pageBreakBefore w:val="0"/>
        <w:spacing w:after="160" w:line="400" w:lineRule="exact"/>
        <w:widowControl/>
        <w:rPr>
          <w:rFonts w:hint="eastAsia" w:ascii="宋体" w:hAnsi="宋体" w:cs="宋体"/>
          <w:b/>
          <w:color w:val="000000"/>
          <w:sz w:val="24"/>
          <w:highlight w:val="none"/>
        </w:rPr>
        <w:outlineLvl w:val="9"/>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t xml:space="preserve">附件2：</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124"/>
        <w:keepLines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1185"/>
        <w:ind w:firstLine="480"/>
        <w:spacing w:after="240" w:afterAutospacing="0" w:line="360" w:lineRule="auto"/>
        <w:rPr>
          <w:rFonts w:hint="eastAsia"/>
          <w:color w:val="000000"/>
          <w:highlight w:val="none"/>
        </w:rPr>
      </w:pPr>
      <w:r>
        <w:rPr>
          <w:rFonts w:hint="eastAsia"/>
          <w:color w:val="000000"/>
          <w:highlight w:val="none"/>
        </w:rPr>
        <w:t xml:space="preserve">采购方（甲方）：                         供应商（乙方）：</w:t>
      </w:r>
      <w:r>
        <w:rPr>
          <w:rFonts w:hint="eastAsia"/>
          <w:color w:val="000000"/>
          <w:highlight w:val="none"/>
        </w:rPr>
      </w:r>
      <w:r/>
    </w:p>
    <w:p>
      <w:pPr>
        <w:pStyle w:val="1185"/>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1185"/>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1185"/>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1185"/>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1185"/>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1185"/>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1185"/>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1185"/>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1185"/>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1185"/>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1185"/>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1185"/>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1122"/>
        <w:jc w:val="center"/>
        <w:spacing w:line="360" w:lineRule="auto"/>
        <w:rPr>
          <w:b/>
          <w:color w:val="000000"/>
          <w:sz w:val="36"/>
          <w:szCs w:val="36"/>
          <w:highlight w:val="none"/>
        </w:rPr>
        <w:outlineLvl w:val="0"/>
      </w:pPr>
      <w:r/>
      <w:bookmarkStart w:id="678" w:name="_Toc16808"/>
      <w:r>
        <w:rPr>
          <w:b/>
          <w:color w:val="000000"/>
          <w:sz w:val="36"/>
          <w:szCs w:val="36"/>
          <w:highlight w:val="none"/>
        </w:rPr>
        <w:t xml:space="preserve">第六章   响应文件格式</w:t>
      </w:r>
      <w:bookmarkEnd w:id="678"/>
      <w:r>
        <w:rPr>
          <w:b/>
          <w:color w:val="000000"/>
          <w:sz w:val="36"/>
          <w:szCs w:val="36"/>
          <w:highlight w:val="none"/>
        </w:rPr>
      </w:r>
      <w:r/>
    </w:p>
    <w:p>
      <w:pPr>
        <w:pStyle w:val="1122"/>
        <w:jc w:val="left"/>
        <w:spacing w:line="360" w:lineRule="auto"/>
        <w:widowControl/>
        <w:rPr>
          <w:b/>
          <w:color w:val="000000"/>
          <w:sz w:val="24"/>
          <w:highlight w:val="none"/>
        </w:rPr>
      </w:pPr>
      <w:r>
        <w:rPr>
          <w:b/>
          <w:color w:val="000000"/>
          <w:sz w:val="24"/>
          <w:highlight w:val="none"/>
        </w:rPr>
      </w:r>
      <w:r/>
    </w:p>
    <w:p>
      <w:pPr>
        <w:pStyle w:val="1122"/>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122"/>
        <w:jc w:val="left"/>
        <w:widowControl/>
        <w:rPr>
          <w:b/>
          <w:color w:val="000000"/>
          <w:sz w:val="24"/>
          <w:highlight w:val="none"/>
        </w:rPr>
      </w:pPr>
      <w:r>
        <w:rPr>
          <w:color w:val="000000"/>
          <w:sz w:val="24"/>
          <w:highlight w:val="none"/>
        </w:rPr>
        <w:br w:type="page" w:clear="all"/>
      </w:r>
      <w:bookmarkEnd w:id="628"/>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122"/>
        <w:jc w:val="center"/>
        <w:rPr>
          <w:color w:val="000000"/>
          <w:szCs w:val="21"/>
          <w:highlight w:val="none"/>
        </w:rPr>
      </w:pPr>
      <w:r>
        <w:rPr>
          <w:color w:val="000000"/>
          <w:szCs w:val="21"/>
          <w:highlight w:val="none"/>
        </w:rPr>
      </w:r>
      <w:r/>
    </w:p>
    <w:p>
      <w:pPr>
        <w:pStyle w:val="1122"/>
        <w:jc w:val="center"/>
        <w:rPr>
          <w:b/>
          <w:color w:val="000000"/>
          <w:spacing w:val="60"/>
          <w:sz w:val="84"/>
          <w:szCs w:val="84"/>
          <w:highlight w:val="none"/>
        </w:rPr>
      </w:pPr>
      <w:r>
        <w:rPr>
          <w:b/>
          <w:color w:val="000000"/>
          <w:spacing w:val="60"/>
          <w:sz w:val="84"/>
          <w:szCs w:val="84"/>
          <w:highlight w:val="none"/>
        </w:rPr>
      </w:r>
      <w:r/>
    </w:p>
    <w:p>
      <w:pPr>
        <w:pStyle w:val="1122"/>
        <w:jc w:val="center"/>
        <w:rPr>
          <w:b/>
          <w:color w:val="000000"/>
          <w:spacing w:val="60"/>
          <w:sz w:val="84"/>
          <w:szCs w:val="84"/>
          <w:highlight w:val="none"/>
        </w:rPr>
      </w:pPr>
      <w:r>
        <w:rPr>
          <w:b/>
          <w:color w:val="000000"/>
          <w:spacing w:val="60"/>
          <w:sz w:val="84"/>
          <w:szCs w:val="84"/>
          <w:highlight w:val="none"/>
        </w:rPr>
      </w:r>
      <w:r/>
    </w:p>
    <w:p>
      <w:pPr>
        <w:pStyle w:val="1122"/>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122"/>
        <w:jc w:val="center"/>
        <w:rPr>
          <w:b/>
          <w:color w:val="000000"/>
          <w:spacing w:val="60"/>
          <w:sz w:val="52"/>
          <w:szCs w:val="52"/>
          <w:highlight w:val="none"/>
        </w:rPr>
      </w:pPr>
      <w:r>
        <w:rPr>
          <w:b/>
          <w:color w:val="000000"/>
          <w:spacing w:val="60"/>
          <w:sz w:val="52"/>
          <w:szCs w:val="52"/>
          <w:highlight w:val="none"/>
        </w:rPr>
      </w:r>
      <w:r/>
    </w:p>
    <w:p>
      <w:pPr>
        <w:pStyle w:val="1122"/>
        <w:ind w:firstLine="542"/>
        <w:rPr>
          <w:b/>
          <w:color w:val="000000"/>
          <w:spacing w:val="20"/>
          <w:sz w:val="32"/>
          <w:szCs w:val="32"/>
          <w:highlight w:val="none"/>
        </w:rPr>
      </w:pPr>
      <w:r>
        <w:rPr>
          <w:b/>
          <w:color w:val="000000"/>
          <w:spacing w:val="20"/>
          <w:sz w:val="32"/>
          <w:szCs w:val="32"/>
          <w:highlight w:val="none"/>
        </w:rPr>
      </w:r>
      <w:r/>
    </w:p>
    <w:p>
      <w:pPr>
        <w:pStyle w:val="1122"/>
        <w:ind w:firstLine="542"/>
        <w:rPr>
          <w:b/>
          <w:color w:val="000000"/>
          <w:spacing w:val="20"/>
          <w:sz w:val="32"/>
          <w:szCs w:val="32"/>
          <w:highlight w:val="none"/>
        </w:rPr>
      </w:pPr>
      <w:r>
        <w:rPr>
          <w:b/>
          <w:color w:val="000000"/>
          <w:spacing w:val="20"/>
          <w:sz w:val="32"/>
          <w:szCs w:val="32"/>
          <w:highlight w:val="none"/>
        </w:rPr>
      </w:r>
      <w:r/>
    </w:p>
    <w:p>
      <w:pPr>
        <w:pStyle w:val="112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2"/>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2"/>
        <w:jc w:val="center"/>
        <w:rPr>
          <w:b/>
          <w:color w:val="000000"/>
          <w:sz w:val="32"/>
          <w:szCs w:val="32"/>
          <w:highlight w:val="none"/>
        </w:rPr>
      </w:pPr>
      <w:r>
        <w:rPr>
          <w:b/>
          <w:color w:val="000000"/>
          <w:sz w:val="32"/>
          <w:szCs w:val="32"/>
          <w:highlight w:val="none"/>
        </w:rPr>
      </w:r>
      <w:r/>
    </w:p>
    <w:p>
      <w:pPr>
        <w:pStyle w:val="1122"/>
        <w:rPr>
          <w:color w:val="000000"/>
          <w:sz w:val="24"/>
          <w:szCs w:val="20"/>
          <w:highlight w:val="none"/>
        </w:rPr>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2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2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2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致：常州盈泰招标有限公司</w:t>
      </w:r>
      <w:r>
        <w:rPr>
          <w:color w:val="000000"/>
          <w:highlight w:val="none"/>
        </w:rPr>
      </w:r>
      <w:r/>
    </w:p>
    <w:p>
      <w:pPr>
        <w:pStyle w:val="1136"/>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lang w:eastAsia="zh-CN"/>
        </w:rPr>
        <w:t xml:space="preserve">：</w:t>
      </w:r>
      <w:r>
        <w:rPr>
          <w:rFonts w:hint="eastAsia"/>
          <w:color w:val="000000"/>
          <w:highlight w:val="none"/>
          <w:u w:val="singl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3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3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3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3120"/>
        <w:spacing w:line="460" w:lineRule="exact"/>
        <w:rPr>
          <w:color w:val="000000"/>
          <w:highlight w:val="none"/>
        </w:rPr>
      </w:pPr>
      <w:r>
        <w:rPr>
          <w:rFonts w:hint="eastAsia"/>
          <w:color w:val="000000"/>
          <w:highlight w:val="none"/>
        </w:rPr>
        <w:t xml:space="preserve">供应商：（加盖公章）</w:t>
      </w:r>
      <w:r>
        <w:rPr>
          <w:color w:val="000000"/>
          <w:highlight w:val="none"/>
        </w:rPr>
      </w:r>
      <w:r/>
    </w:p>
    <w:p>
      <w:pPr>
        <w:pStyle w:val="1136"/>
        <w:ind w:firstLine="3120"/>
        <w:spacing w:line="460" w:lineRule="exact"/>
        <w:rPr>
          <w:color w:val="000000"/>
          <w:highlight w:val="none"/>
        </w:rPr>
      </w:pPr>
      <w:r>
        <w:rPr>
          <w:rFonts w:hint="eastAsia"/>
          <w:color w:val="000000"/>
          <w:highlight w:val="none"/>
        </w:rPr>
        <w:t xml:space="preserve">法定代表人（或单位负责人）签字或盖章：</w:t>
      </w:r>
      <w:r>
        <w:rPr>
          <w:color w:val="000000"/>
          <w:highlight w:val="none"/>
        </w:rPr>
      </w:r>
      <w:r/>
    </w:p>
    <w:p>
      <w:pPr>
        <w:pStyle w:val="1136"/>
        <w:ind w:firstLine="31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22"/>
        <w:spacing w:line="360" w:lineRule="auto"/>
        <w:tabs>
          <w:tab w:val="left" w:pos="5580" w:leader="none"/>
        </w:tabs>
        <w:rPr>
          <w:color w:val="000000"/>
          <w:sz w:val="24"/>
          <w:highlight w:val="none"/>
        </w:rPr>
        <w:sectPr>
          <w:headerReference w:type="default" r:id="rId11"/>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highlight w:val="none"/>
        </w:rPr>
      </w:r>
      <w:r/>
    </w:p>
    <w:p>
      <w:pPr>
        <w:pStyle w:val="1122"/>
        <w:spacing w:line="360" w:lineRule="auto"/>
        <w:rPr>
          <w:rFonts w:hint="eastAsia"/>
          <w:color w:val="000000"/>
          <w:sz w:val="24"/>
          <w:szCs w:val="20"/>
          <w:highlight w:val="none"/>
        </w:rPr>
        <w:outlineLvl w:val="2"/>
      </w:pPr>
      <w:r/>
      <w:bookmarkStart w:id="679" w:name="_Toc226965830"/>
      <w:r/>
      <w:bookmarkStart w:id="680" w:name="_Toc150774762"/>
      <w:r/>
      <w:bookmarkStart w:id="681" w:name="_Toc264969247"/>
      <w:r/>
      <w:bookmarkStart w:id="682" w:name="_Toc520356218"/>
      <w:r/>
      <w:bookmarkStart w:id="683" w:name="_Toc127151557"/>
      <w:r/>
      <w:bookmarkStart w:id="684" w:name="_Toc226309801"/>
      <w:r/>
      <w:bookmarkStart w:id="685" w:name="_Toc480942350"/>
      <w:r/>
      <w:bookmarkStart w:id="686" w:name="_Toc150480795"/>
      <w:r/>
      <w:bookmarkStart w:id="687" w:name="_Toc142311059"/>
      <w:r/>
      <w:bookmarkStart w:id="688" w:name="_Toc226337253"/>
      <w:r/>
      <w:bookmarkStart w:id="689" w:name="_Toc195842922"/>
      <w:r/>
      <w:bookmarkStart w:id="690" w:name="_Toc305158899"/>
      <w:r/>
      <w:bookmarkStart w:id="691" w:name="_Toc226965747"/>
      <w:r/>
      <w:bookmarkStart w:id="692" w:name="_Ref467988705"/>
      <w:r/>
      <w:bookmarkStart w:id="693" w:name="_Toc265228395"/>
      <w:r/>
      <w:bookmarkStart w:id="694" w:name="_Toc305158825"/>
      <w:r>
        <w:rPr>
          <w:color w:val="000000"/>
          <w:sz w:val="24"/>
          <w:szCs w:val="20"/>
          <w:highlight w:val="none"/>
        </w:rPr>
        <w:t xml:space="preserve">2 </w:t>
      </w:r>
      <w:r>
        <w:rPr>
          <w:rFonts w:hint="eastAsia"/>
          <w:color w:val="000000"/>
          <w:sz w:val="24"/>
          <w:szCs w:val="20"/>
          <w:highlight w:val="none"/>
          <w:lang w:val="en-US" w:eastAsia="zh-CN"/>
        </w:rPr>
        <w:t xml:space="preserve"> </w:t>
      </w:r>
      <w:r>
        <w:rPr>
          <w:color w:val="000000"/>
          <w:sz w:val="24"/>
          <w:szCs w:val="20"/>
          <w:highlight w:val="none"/>
        </w:rPr>
        <w:t xml:space="preserve">落实政府采购政策需满足的资格要求</w:t>
      </w:r>
      <w:r>
        <w:rPr>
          <w:rFonts w:hint="eastAsia"/>
          <w:color w:val="000000"/>
          <w:sz w:val="24"/>
          <w:szCs w:val="20"/>
          <w:highlight w:val="none"/>
        </w:rPr>
        <w:t xml:space="preserve"> </w:t>
      </w:r>
      <w:r>
        <w:rPr>
          <w:rFonts w:hint="eastAsia"/>
          <w:color w:val="000000"/>
          <w:sz w:val="24"/>
          <w:szCs w:val="20"/>
          <w:highlight w:val="none"/>
        </w:rPr>
      </w:r>
      <w:r/>
    </w:p>
    <w:p>
      <w:pPr>
        <w:pStyle w:val="1122"/>
        <w:spacing w:line="360" w:lineRule="auto"/>
        <w:rPr>
          <w:color w:val="000000"/>
          <w:sz w:val="24"/>
          <w:szCs w:val="20"/>
          <w:highlight w:val="none"/>
        </w:rPr>
        <w:outlineLvl w:val="2"/>
      </w:pPr>
      <w:r>
        <w:rPr>
          <w:color w:val="000000"/>
          <w:sz w:val="24"/>
          <w:szCs w:val="20"/>
          <w:highlight w:val="none"/>
        </w:rPr>
      </w:r>
      <w:r/>
    </w:p>
    <w:p>
      <w:pPr>
        <w:pStyle w:val="1122"/>
        <w:spacing w:line="360" w:lineRule="auto"/>
        <w:rPr>
          <w:color w:val="000000"/>
          <w:sz w:val="24"/>
          <w:highlight w:val="none"/>
        </w:rPr>
        <w:outlineLvl w:val="2"/>
      </w:pPr>
      <w:r>
        <w:rPr>
          <w:color w:val="000000"/>
          <w:sz w:val="24"/>
          <w:szCs w:val="20"/>
          <w:highlight w:val="none"/>
        </w:rPr>
        <w:t xml:space="preserve">2-1 </w:t>
      </w:r>
      <w:r>
        <w:rPr>
          <w:rFonts w:hint="eastAsia"/>
          <w:color w:val="000000"/>
          <w:sz w:val="24"/>
          <w:szCs w:val="20"/>
          <w:highlight w:val="none"/>
          <w:lang w:val="en-US" w:eastAsia="zh-CN"/>
        </w:rPr>
        <w:t xml:space="preserve">  </w:t>
      </w:r>
      <w:r>
        <w:rPr>
          <w:color w:val="000000"/>
          <w:sz w:val="24"/>
          <w:szCs w:val="20"/>
          <w:highlight w:val="none"/>
        </w:rPr>
        <w:t xml:space="preserve">中小企业声明函</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r>
      <w:r/>
    </w:p>
    <w:p>
      <w:pPr>
        <w:pStyle w:val="1122"/>
        <w:ind w:firstLine="420"/>
        <w:jc w:val="left"/>
        <w:rPr>
          <w:color w:val="000000"/>
          <w:sz w:val="24"/>
          <w:highlight w:val="none"/>
        </w:rPr>
      </w:pPr>
      <w:r>
        <w:rPr>
          <w:color w:val="000000"/>
          <w:sz w:val="24"/>
          <w:highlight w:val="none"/>
        </w:rPr>
      </w:r>
      <w:r/>
    </w:p>
    <w:p>
      <w:pPr>
        <w:pStyle w:val="1122"/>
        <w:spacing w:line="360" w:lineRule="auto"/>
        <w:rPr>
          <w:color w:val="000000"/>
          <w:sz w:val="24"/>
          <w:highlight w:val="none"/>
        </w:rPr>
      </w:pPr>
      <w:r>
        <w:rPr>
          <w:color w:val="000000"/>
          <w:sz w:val="24"/>
          <w:highlight w:val="none"/>
        </w:rPr>
      </w:r>
      <w:r/>
    </w:p>
    <w:p>
      <w:pPr>
        <w:pStyle w:val="1122"/>
        <w:jc w:val="center"/>
        <w:spacing w:before="240" w:after="240" w:line="360" w:lineRule="auto"/>
        <w:rPr>
          <w:rFonts w:hint="eastAsia" w:ascii="宋体" w:hAnsi="宋体" w:eastAsia="宋体" w:cs="宋体"/>
          <w:b/>
          <w:bCs/>
          <w:color w:val="000000"/>
          <w:sz w:val="36"/>
          <w:szCs w:val="36"/>
          <w:highlight w:val="none"/>
        </w:rPr>
      </w:pPr>
      <w:r>
        <w:rPr>
          <w:color w:val="000000"/>
          <w:sz w:val="24"/>
          <w:highlight w:val="none"/>
        </w:rPr>
        <w:br w:type="page" w:clear="all"/>
      </w:r>
      <w:r>
        <w:rPr>
          <w:rFonts w:hint="eastAsia" w:ascii="宋体" w:hAnsi="宋体" w:eastAsia="宋体" w:cs="宋体"/>
          <w:b/>
          <w:bCs/>
          <w:color w:val="000000"/>
          <w:sz w:val="36"/>
          <w:szCs w:val="36"/>
          <w:highlight w:val="none"/>
        </w:rPr>
        <w:t xml:space="preserve">中小企业声明函（工程、服务）格式</w:t>
      </w:r>
      <w:r>
        <w:rPr>
          <w:rFonts w:hint="eastAsia" w:ascii="宋体" w:hAnsi="宋体" w:eastAsia="宋体" w:cs="宋体"/>
          <w:b/>
          <w:bCs/>
          <w:color w:val="000000"/>
          <w:sz w:val="36"/>
          <w:szCs w:val="36"/>
          <w:highlight w:val="none"/>
        </w:rPr>
      </w:r>
      <w:r/>
    </w:p>
    <w:p>
      <w:pPr>
        <w:pStyle w:val="1122"/>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1122"/>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行业；承建（承接）企业为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w:t>
      </w:r>
      <w:r>
        <w:rPr>
          <w:rFonts w:hint="eastAsia" w:ascii="宋体" w:hAnsi="宋体" w:eastAsia="宋体" w:cs="宋体"/>
          <w:color w:val="000000"/>
          <w:spacing w:val="6"/>
          <w:sz w:val="24"/>
          <w:highlight w:val="none"/>
          <w:vertAlign w:val="superscript"/>
        </w:rPr>
        <w:t xml:space="preserve">1</w:t>
      </w:r>
      <w:r>
        <w:rPr>
          <w:rFonts w:hint="eastAsia" w:ascii="宋体" w:hAnsi="宋体" w:eastAsia="宋体" w:cs="宋体"/>
          <w:color w:val="000000"/>
          <w:spacing w:val="6"/>
          <w:sz w:val="24"/>
          <w:highlight w:val="none"/>
        </w:rPr>
        <w:t xml:space="preserve">，属于（中型企业、小型企业、微型企业）；</w:t>
      </w:r>
      <w:r>
        <w:rPr>
          <w:rFonts w:hint="eastAsia" w:ascii="宋体" w:hAnsi="宋体" w:eastAsia="宋体" w:cs="宋体"/>
          <w:color w:val="000000"/>
          <w:spacing w:val="6"/>
          <w:sz w:val="24"/>
          <w:highlight w:val="none"/>
        </w:rPr>
      </w:r>
      <w:r/>
    </w:p>
    <w:p>
      <w:pPr>
        <w:pStyle w:val="1122"/>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2.</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行业；承建（承接）企业为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，从业人员______人，营业收入为______万元，资产总额为______万元，属于</w:t>
      </w:r>
      <w:r>
        <w:rPr>
          <w:rFonts w:hint="eastAsia" w:ascii="宋体" w:hAnsi="宋体" w:eastAsia="宋体" w:cs="宋体"/>
          <w:color w:val="000000"/>
          <w:spacing w:val="6"/>
          <w:sz w:val="24"/>
          <w:highlight w:val="none"/>
          <w:u w:val="single"/>
        </w:rPr>
        <w:t xml:space="preserve">（中型企业、小型企业、微型企业）</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1122"/>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122"/>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1122"/>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1122"/>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1122"/>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2"/>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rPr>
          <w:rFonts w:hint="eastAsia" w:ascii="宋体" w:hAnsi="宋体" w:eastAsia="宋体" w:cs="宋体"/>
          <w:color w:val="000000"/>
          <w:sz w:val="24"/>
          <w:highlight w:val="none"/>
        </w:rPr>
      </w:r>
      <w:r/>
    </w:p>
    <w:p>
      <w:pPr>
        <w:pStyle w:val="1122"/>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rPr>
          <w:rFonts w:hint="eastAsia" w:ascii="宋体" w:hAnsi="宋体" w:eastAsia="宋体" w:cs="宋体"/>
          <w:color w:val="000000"/>
          <w:sz w:val="24"/>
          <w:highlight w:val="none"/>
        </w:rPr>
      </w:r>
      <w:r/>
    </w:p>
    <w:p>
      <w:pPr>
        <w:pStyle w:val="1122"/>
        <w:jc w:val="left"/>
        <w:rPr>
          <w:color w:val="000000"/>
          <w:sz w:val="24"/>
          <w:szCs w:val="21"/>
          <w:highlight w:val="none"/>
        </w:rPr>
      </w:pPr>
      <w:r>
        <w:rPr>
          <w:color w:val="000000"/>
          <w:sz w:val="24"/>
          <w:szCs w:val="21"/>
          <w:highlight w:val="none"/>
        </w:rPr>
      </w:r>
      <w:r/>
    </w:p>
    <w:p>
      <w:pPr>
        <w:pStyle w:val="112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122"/>
        <w:jc w:val="left"/>
        <w:rPr>
          <w:color w:val="000000"/>
          <w:szCs w:val="21"/>
          <w:highlight w:val="none"/>
          <w:vertAlign w:val="superscript"/>
        </w:rPr>
      </w:pPr>
      <w:r>
        <w:rPr>
          <w:color w:val="000000"/>
          <w:szCs w:val="21"/>
          <w:highlight w:val="none"/>
          <w:vertAlign w:val="superscript"/>
        </w:rPr>
      </w:r>
      <w:r/>
    </w:p>
    <w:p>
      <w:pPr>
        <w:pStyle w:val="1122"/>
        <w:ind w:right="360" w:firstLine="480"/>
        <w:jc w:val="right"/>
        <w:spacing w:line="360" w:lineRule="auto"/>
        <w:rPr>
          <w:color w:val="000000"/>
          <w:sz w:val="24"/>
          <w:highlight w:val="none"/>
        </w:rPr>
      </w:pPr>
      <w:r>
        <w:rPr>
          <w:color w:val="000000"/>
          <w:sz w:val="24"/>
          <w:highlight w:val="none"/>
        </w:rPr>
      </w:r>
      <w:r/>
    </w:p>
    <w:p>
      <w:pPr>
        <w:pStyle w:val="112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12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12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122"/>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122"/>
        <w:jc w:val="center"/>
        <w:rPr>
          <w:color w:val="000000"/>
          <w:sz w:val="36"/>
          <w:szCs w:val="36"/>
          <w:highlight w:val="none"/>
        </w:rPr>
      </w:pPr>
      <w:r>
        <w:rPr>
          <w:color w:val="000000"/>
          <w:sz w:val="36"/>
          <w:szCs w:val="36"/>
          <w:highlight w:val="none"/>
        </w:rPr>
      </w:r>
      <w:r/>
    </w:p>
    <w:p>
      <w:pPr>
        <w:pStyle w:val="1122"/>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122"/>
        <w:ind w:firstLine="482"/>
        <w:spacing w:line="588" w:lineRule="exact"/>
        <w:rPr>
          <w:b/>
          <w:color w:val="000000"/>
          <w:spacing w:val="6"/>
          <w:sz w:val="24"/>
          <w:highlight w:val="none"/>
        </w:rPr>
      </w:pPr>
      <w:r>
        <w:rPr>
          <w:rFonts w:hint="eastAsia"/>
          <w:b/>
          <w:color w:val="000000"/>
          <w:sz w:val="24"/>
          <w:highlight w:val="none"/>
          <w:lang w:eastAsia="zh-CN"/>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122"/>
        <w:ind w:firstLine="482"/>
        <w:spacing w:line="588" w:lineRule="exact"/>
        <w:rPr>
          <w:color w:val="000000"/>
          <w:spacing w:val="6"/>
          <w:sz w:val="24"/>
          <w:highlight w:val="none"/>
        </w:rPr>
      </w:pPr>
      <w:r>
        <w:rPr>
          <w:rFonts w:hint="eastAsia"/>
          <w:b/>
          <w:color w:val="000000"/>
          <w:sz w:val="24"/>
          <w:highlight w:val="none"/>
          <w:lang w:eastAsia="zh-CN"/>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122"/>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122"/>
        <w:ind w:firstLine="504"/>
        <w:spacing w:line="588" w:lineRule="exact"/>
        <w:rPr>
          <w:color w:val="000000"/>
          <w:spacing w:val="6"/>
          <w:sz w:val="24"/>
          <w:highlight w:val="none"/>
        </w:rPr>
      </w:pPr>
      <w:r>
        <w:rPr>
          <w:color w:val="000000"/>
          <w:spacing w:val="6"/>
          <w:sz w:val="24"/>
          <w:highlight w:val="none"/>
        </w:rPr>
      </w:r>
      <w:r/>
    </w:p>
    <w:p>
      <w:pPr>
        <w:pStyle w:val="1122"/>
        <w:ind w:firstLine="504"/>
        <w:spacing w:line="588" w:lineRule="exact"/>
        <w:rPr>
          <w:color w:val="000000"/>
          <w:spacing w:val="6"/>
          <w:sz w:val="24"/>
          <w:highlight w:val="none"/>
        </w:rPr>
      </w:pPr>
      <w:r>
        <w:rPr>
          <w:color w:val="000000"/>
          <w:spacing w:val="6"/>
          <w:sz w:val="24"/>
          <w:highlight w:val="none"/>
        </w:rPr>
      </w:r>
      <w:r/>
    </w:p>
    <w:p>
      <w:pPr>
        <w:pStyle w:val="112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112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t xml:space="preserve">3</w:t>
      </w:r>
      <w:r>
        <w:rPr>
          <w:color w:val="000000"/>
          <w:sz w:val="24"/>
          <w:szCs w:val="20"/>
          <w:highlight w:val="none"/>
        </w:rPr>
        <w:t xml:space="preserve"> </w:t>
      </w:r>
      <w:r>
        <w:rPr>
          <w:rFonts w:hint="eastAsia"/>
          <w:color w:val="000000"/>
          <w:sz w:val="24"/>
          <w:szCs w:val="20"/>
          <w:highlight w:val="none"/>
          <w:lang w:val="en-US" w:eastAsia="zh-CN"/>
        </w:rPr>
        <w:t xml:space="preserve"> </w:t>
      </w:r>
      <w:r>
        <w:rPr>
          <w:rFonts w:hint="eastAsia"/>
          <w:color w:val="000000"/>
          <w:sz w:val="24"/>
          <w:szCs w:val="20"/>
          <w:highlight w:val="none"/>
        </w:rPr>
        <w:t xml:space="preserve">本项目的特定资格要求</w:t>
      </w:r>
      <w:r>
        <w:rPr>
          <w:color w:val="000000"/>
          <w:sz w:val="24"/>
          <w:szCs w:val="20"/>
          <w:highlight w:val="none"/>
        </w:rPr>
      </w:r>
      <w:r/>
    </w:p>
    <w:p>
      <w:pPr>
        <w:pStyle w:val="1122"/>
        <w:jc w:val="left"/>
        <w:widowControl/>
        <w:rPr>
          <w:rFonts w:hint="eastAsia"/>
          <w:color w:val="000000"/>
          <w:sz w:val="24"/>
          <w:szCs w:val="20"/>
          <w:highlight w:val="none"/>
        </w:rPr>
      </w:pPr>
      <w:r>
        <w:rPr>
          <w:color w:val="000000"/>
          <w:sz w:val="24"/>
          <w:szCs w:val="20"/>
          <w:highlight w:val="none"/>
        </w:rPr>
        <w:t xml:space="preserve">3-2</w:t>
      </w:r>
      <w:r>
        <w:rPr>
          <w:rFonts w:hint="eastAsia"/>
          <w:color w:val="000000"/>
          <w:sz w:val="24"/>
          <w:szCs w:val="20"/>
          <w:highlight w:val="none"/>
          <w:lang w:val="en-US" w:eastAsia="zh-CN"/>
        </w:rPr>
        <w:t xml:space="preserve">  </w:t>
      </w:r>
      <w:r>
        <w:rPr>
          <w:color w:val="000000"/>
          <w:sz w:val="24"/>
          <w:szCs w:val="20"/>
          <w:highlight w:val="none"/>
        </w:rPr>
        <w:t xml:space="preserve">其他特定资格要求</w:t>
      </w:r>
      <w:r>
        <w:rPr>
          <w:rFonts w:hint="eastAsia"/>
          <w:color w:val="000000"/>
          <w:sz w:val="24"/>
          <w:szCs w:val="20"/>
          <w:highlight w:val="none"/>
        </w:rPr>
        <w:t xml:space="preserve">：</w:t>
      </w:r>
      <w:r>
        <w:rPr>
          <w:rFonts w:hint="eastAsia"/>
          <w:color w:val="000000"/>
          <w:sz w:val="24"/>
          <w:szCs w:val="20"/>
          <w:highlight w:val="none"/>
        </w:rPr>
        <w:t xml:space="preserve">供应商须提供中华人民共和国道路运输经营许可证，经营范围须包含省际/市际包车客运或旅游客运。</w:t>
      </w:r>
      <w:r>
        <w:rPr>
          <w:rFonts w:hint="eastAsia"/>
          <w:color w:val="000000"/>
          <w:sz w:val="24"/>
          <w:szCs w:val="20"/>
          <w:highlight w:val="none"/>
        </w:rPr>
      </w:r>
      <w:r/>
    </w:p>
    <w:p>
      <w:pPr>
        <w:pStyle w:val="1122"/>
        <w:spacing w:line="360" w:lineRule="auto"/>
        <w:rPr>
          <w:color w:val="000000"/>
          <w:sz w:val="24"/>
          <w:szCs w:val="20"/>
          <w:highlight w:val="none"/>
        </w:rPr>
        <w:outlineLvl w:val="2"/>
      </w:pPr>
      <w:r>
        <w:rPr>
          <w:color w:val="000000"/>
          <w:sz w:val="24"/>
          <w:highlight w:val="none"/>
        </w:rPr>
        <w:br w:type="page" w:clear="all"/>
      </w:r>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22"/>
        <w:spacing w:line="360" w:lineRule="auto"/>
        <w:tabs>
          <w:tab w:val="left" w:pos="5580" w:leader="none"/>
        </w:tabs>
        <w:rPr>
          <w:color w:val="000000"/>
          <w:sz w:val="24"/>
          <w:highlight w:val="none"/>
        </w:rPr>
      </w:pPr>
      <w:r>
        <w:rPr>
          <w:color w:val="000000"/>
          <w:sz w:val="24"/>
          <w:highlight w:val="none"/>
        </w:rPr>
      </w:r>
      <w:r/>
    </w:p>
    <w:p>
      <w:pPr>
        <w:pStyle w:val="1122"/>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22"/>
        <w:spacing w:line="360" w:lineRule="auto"/>
        <w:tabs>
          <w:tab w:val="left" w:pos="5580" w:leader="none"/>
        </w:tabs>
        <w:rPr>
          <w:color w:val="000000"/>
          <w:sz w:val="24"/>
          <w:szCs w:val="20"/>
          <w:highlight w:val="none"/>
        </w:rPr>
      </w:pPr>
      <w:r>
        <w:rPr>
          <w:color w:val="000000"/>
          <w:sz w:val="24"/>
          <w:szCs w:val="20"/>
          <w:highlight w:val="none"/>
        </w:rPr>
      </w:r>
      <w:r/>
    </w:p>
    <w:p>
      <w:pPr>
        <w:pStyle w:val="112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12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12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2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12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2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12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22"/>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w:t>
      </w:r>
      <w:r>
        <w:rPr>
          <w:rFonts w:hint="eastAsia"/>
          <w:color w:val="000000"/>
          <w:sz w:val="24"/>
          <w:szCs w:val="20"/>
          <w:highlight w:val="none"/>
        </w:rPr>
        <w:t xml:space="preserve">：</w:t>
      </w:r>
      <w:r>
        <w:rPr>
          <w:color w:val="000000"/>
          <w:sz w:val="24"/>
          <w:szCs w:val="20"/>
          <w:highlight w:val="none"/>
        </w:rPr>
        <w:t xml:space="preserve">___________</w:t>
      </w: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12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22"/>
        <w:jc w:val="left"/>
        <w:widowControl/>
        <w:rPr>
          <w:rFonts w:hint="eastAsia"/>
          <w:color w:val="000000"/>
          <w:sz w:val="24"/>
          <w:highlight w:val="none"/>
        </w:rPr>
      </w:pPr>
      <w:r/>
      <w:bookmarkStart w:id="696" w:name="_Hlt520356243"/>
      <w:r/>
      <w:bookmarkEnd w:id="696"/>
      <w:r/>
      <w:bookmarkStart w:id="697" w:name="_Hlt520355938"/>
      <w:r/>
      <w:bookmarkEnd w:id="697"/>
      <w:r>
        <w:rPr>
          <w:color w:val="000000"/>
          <w:sz w:val="24"/>
          <w:highlight w:val="none"/>
        </w:rPr>
        <w:br w:type="page" w:clear="all"/>
      </w: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12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ascii="宋体" w:hAnsi="宋体"/>
          <w:color w:val="000000"/>
          <w:sz w:val="24"/>
          <w:highlight w:val="none"/>
        </w:rPr>
      </w:r>
      <w:r/>
    </w:p>
    <w:p>
      <w:pPr>
        <w:pStyle w:val="1154"/>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22"/>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1122"/>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122"/>
        <w:ind w:firstLine="640"/>
        <w:rPr>
          <w:color w:val="000000"/>
          <w:highlight w:val="none"/>
        </w:rPr>
      </w:pPr>
      <w:r>
        <w:rPr>
          <w:color w:val="000000"/>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7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122"/>
        <w:jc w:val="left"/>
        <w:widowControl/>
        <w:rPr>
          <w:rFonts w:hint="eastAsia" w:ascii="宋体" w:hAnsi="宋体"/>
          <w:color w:val="000000"/>
          <w:sz w:val="24"/>
          <w:highlight w:val="none"/>
        </w:rPr>
      </w:pPr>
      <w:r>
        <w:rPr>
          <w:color w:val="000000"/>
          <w:sz w:val="24"/>
          <w:szCs w:val="20"/>
          <w:highlight w:val="none"/>
        </w:rPr>
        <w:br w:type="page" w:clear="all"/>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 供应商管理关系或控股关系信息情况表（实质性格式）</w:t>
      </w:r>
      <w:r>
        <w:rPr>
          <w:rFonts w:hint="eastAsia" w:ascii="宋体" w:hAnsi="宋体"/>
          <w:color w:val="000000"/>
          <w:sz w:val="24"/>
          <w:highlight w:val="none"/>
        </w:rPr>
      </w:r>
      <w:r/>
    </w:p>
    <w:p>
      <w:pPr>
        <w:pStyle w:val="1122"/>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供应商管理关系或控股关系信息情况表</w:t>
      </w:r>
      <w:r>
        <w:rPr>
          <w:rFonts w:hint="eastAsia" w:ascii="宋体" w:hAnsi="宋体"/>
          <w:b/>
          <w:color w:val="000000"/>
          <w:sz w:val="32"/>
          <w:szCs w:val="32"/>
          <w:highlight w:val="none"/>
        </w:rPr>
      </w:r>
      <w:r/>
    </w:p>
    <w:p>
      <w:pPr>
        <w:pStyle w:val="1122"/>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投标人名称：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122"/>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1122"/>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122"/>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1122"/>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122"/>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1122"/>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122"/>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1122"/>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122"/>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1122"/>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1122"/>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；管理关系□）</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12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；管理关系□）</w:t>
            </w:r>
            <w:r>
              <w:rPr>
                <w:rFonts w:ascii="宋体" w:hAnsi="宋体" w:cs="宋体"/>
                <w:color w:val="000000"/>
                <w:sz w:val="24"/>
                <w:highlight w:val="none"/>
              </w:rPr>
            </w:r>
            <w:r/>
          </w:p>
          <w:p>
            <w:pPr>
              <w:pStyle w:val="1122"/>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1122"/>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122"/>
              <w:numPr>
                <w:ilvl w:val="0"/>
                <w:numId w:val="16"/>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1122"/>
              <w:numPr>
                <w:ilvl w:val="0"/>
                <w:numId w:val="16"/>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1122"/>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1122"/>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1122"/>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122"/>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1122"/>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12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color w:val="000000"/>
          <w:sz w:val="24"/>
          <w:szCs w:val="20"/>
          <w:highlight w:val="none"/>
        </w:rPr>
      </w:r>
      <w:r/>
    </w:p>
    <w:p>
      <w:pPr>
        <w:pStyle w:val="1122"/>
        <w:jc w:val="center"/>
        <w:rPr>
          <w:b/>
          <w:color w:val="000000"/>
          <w:sz w:val="36"/>
          <w:szCs w:val="36"/>
          <w:highlight w:val="none"/>
        </w:rPr>
      </w:pPr>
      <w:r/>
      <w:bookmarkStart w:id="698" w:name="_Toc195842923"/>
      <w:r/>
      <w:bookmarkStart w:id="699" w:name="_Toc164608672"/>
      <w:r/>
      <w:bookmarkStart w:id="700" w:name="_Toc264969248"/>
      <w:r/>
      <w:bookmarkStart w:id="701" w:name="_Toc226309802"/>
      <w:r/>
      <w:bookmarkStart w:id="702" w:name="_Toc305158826"/>
      <w:r/>
      <w:bookmarkStart w:id="703" w:name="_Toc164608827"/>
      <w:r/>
      <w:bookmarkStart w:id="704" w:name="_Toc226337254"/>
      <w:r/>
      <w:bookmarkStart w:id="705" w:name="_Toc226965748"/>
      <w:r/>
      <w:bookmarkStart w:id="706" w:name="_Toc265228396"/>
      <w:r/>
      <w:bookmarkStart w:id="707" w:name="_Toc305158900"/>
      <w:r/>
      <w:bookmarkStart w:id="708" w:name="_Toc226965831"/>
      <w:r>
        <w:rPr>
          <w:rFonts w:hint="eastAsia"/>
          <w:b/>
          <w:color w:val="000000"/>
          <w:sz w:val="36"/>
          <w:szCs w:val="36"/>
          <w:highlight w:val="none"/>
        </w:rPr>
        <w:t xml:space="preserve">报价一览表</w:t>
      </w:r>
      <w:bookmarkEnd w:id="698"/>
      <w:r/>
      <w:bookmarkEnd w:id="699"/>
      <w:r/>
      <w:bookmarkEnd w:id="700"/>
      <w:r/>
      <w:bookmarkEnd w:id="701"/>
      <w:r/>
      <w:bookmarkEnd w:id="702"/>
      <w:r/>
      <w:bookmarkEnd w:id="703"/>
      <w:r/>
      <w:bookmarkEnd w:id="704"/>
      <w:r/>
      <w:bookmarkEnd w:id="705"/>
      <w:r/>
      <w:bookmarkEnd w:id="706"/>
      <w:r/>
      <w:bookmarkEnd w:id="707"/>
      <w:r/>
      <w:bookmarkEnd w:id="708"/>
      <w:r>
        <w:rPr>
          <w:b/>
          <w:color w:val="000000"/>
          <w:sz w:val="36"/>
          <w:szCs w:val="36"/>
          <w:highlight w:val="none"/>
        </w:rPr>
      </w:r>
      <w:r/>
    </w:p>
    <w:p>
      <w:pPr>
        <w:pStyle w:val="1122"/>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122"/>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12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512"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3213"/>
        <w:gridCol w:w="4172"/>
      </w:tblGrid>
      <w:tr>
        <w:trPr>
          <w:trHeight w:val="1185"/>
        </w:trPr>
        <w:tc>
          <w:tcPr>
            <w:tcW w:w="495" w:type="dxa"/>
            <w:vAlign w:val="center"/>
            <w:textDirection w:val="lrTb"/>
            <w:noWrap w:val="false"/>
          </w:tcPr>
          <w:p>
            <w:pPr>
              <w:pStyle w:val="1122"/>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textDirection w:val="lrTb"/>
            <w:noWrap w:val="false"/>
          </w:tcPr>
          <w:p>
            <w:pPr>
              <w:pStyle w:val="1122"/>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tcW w:w="4171" w:type="dxa"/>
            <w:vAlign w:val="center"/>
            <w:textDirection w:val="lrTb"/>
            <w:noWrap w:val="false"/>
          </w:tcPr>
          <w:p>
            <w:pPr>
              <w:pStyle w:val="1122"/>
              <w:jc w:val="center"/>
              <w:tabs>
                <w:tab w:val="left" w:pos="5580" w:leader="none"/>
              </w:tabs>
              <w:rPr>
                <w:b/>
                <w:color w:val="000000"/>
                <w:sz w:val="24"/>
                <w:highlight w:val="none"/>
              </w:rPr>
            </w:pPr>
            <w:r>
              <w:rPr>
                <w:b/>
                <w:color w:val="000000"/>
                <w:sz w:val="24"/>
                <w:highlight w:val="none"/>
              </w:rPr>
              <w:t xml:space="preserve">报价</w:t>
            </w:r>
            <w:r>
              <w:rPr>
                <w:rFonts w:hint="eastAsia"/>
                <w:b/>
                <w:color w:val="000000"/>
                <w:sz w:val="24"/>
                <w:highlight w:val="none"/>
              </w:rPr>
              <w:t xml:space="preserve">（优惠率）</w:t>
            </w:r>
            <w:r>
              <w:rPr>
                <w:b/>
                <w:color w:val="000000"/>
                <w:sz w:val="24"/>
                <w:highlight w:val="none"/>
              </w:rPr>
            </w:r>
            <w:r/>
          </w:p>
        </w:tc>
      </w:tr>
      <w:tr>
        <w:trPr>
          <w:trHeight w:val="976"/>
        </w:trPr>
        <w:tc>
          <w:tcPr>
            <w:tcW w:w="495" w:type="dxa"/>
            <w:vAlign w:val="center"/>
            <w:textDirection w:val="lrTb"/>
            <w:noWrap w:val="false"/>
          </w:tcPr>
          <w:p>
            <w:pPr>
              <w:pStyle w:val="1122"/>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122"/>
              <w:jc w:val="center"/>
              <w:tabs>
                <w:tab w:val="left" w:pos="5580" w:leader="none"/>
              </w:tabs>
              <w:rPr>
                <w:color w:val="000000"/>
                <w:sz w:val="24"/>
                <w:highlight w:val="none"/>
              </w:rPr>
            </w:pPr>
            <w:r>
              <w:rPr>
                <w:color w:val="000000"/>
                <w:sz w:val="24"/>
                <w:highlight w:val="none"/>
              </w:rPr>
            </w:r>
            <w:r/>
          </w:p>
        </w:tc>
        <w:tc>
          <w:tcPr>
            <w:tcW w:w="4171" w:type="dxa"/>
            <w:vAlign w:val="center"/>
            <w:textDirection w:val="lrTb"/>
            <w:noWrap w:val="false"/>
          </w:tcPr>
          <w:p>
            <w:pPr>
              <w:pStyle w:val="1122"/>
              <w:jc w:val="center"/>
              <w:tabs>
                <w:tab w:val="left" w:pos="5580" w:leader="none"/>
              </w:tabs>
              <w:rPr>
                <w:color w:val="000000"/>
                <w:sz w:val="24"/>
                <w:highlight w:val="none"/>
              </w:rPr>
            </w:pPr>
            <w:r>
              <w:rPr>
                <w:rFonts w:hint="eastAsia"/>
                <w:color w:val="000000"/>
                <w:sz w:val="24"/>
                <w:highlight w:val="none"/>
                <w:u w:val="single"/>
                <w:lang w:val="en-US" w:eastAsia="zh-CN"/>
              </w:rPr>
              <w:t xml:space="preserve">        </w:t>
            </w:r>
            <w:r>
              <w:rPr>
                <w:rFonts w:hint="eastAsia"/>
                <w:color w:val="000000"/>
                <w:sz w:val="24"/>
                <w:highlight w:val="none"/>
              </w:rPr>
              <w:t xml:space="preserve">%</w:t>
            </w:r>
            <w:r>
              <w:rPr>
                <w:color w:val="000000"/>
                <w:sz w:val="24"/>
                <w:highlight w:val="none"/>
              </w:rPr>
            </w:r>
            <w:r/>
          </w:p>
        </w:tc>
      </w:tr>
    </w:tbl>
    <w:p>
      <w:pPr>
        <w:pStyle w:val="1122"/>
        <w:jc w:val="left"/>
        <w:rPr>
          <w:color w:val="000000"/>
          <w:sz w:val="24"/>
          <w:highlight w:val="none"/>
        </w:rPr>
      </w:pPr>
      <w:r>
        <w:rPr>
          <w:color w:val="000000"/>
          <w:sz w:val="24"/>
          <w:highlight w:val="none"/>
        </w:rPr>
      </w:r>
      <w:r/>
    </w:p>
    <w:p>
      <w:pPr>
        <w:pStyle w:val="1122"/>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1122"/>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1122"/>
        <w:spacing w:before="25" w:after="25" w:line="360" w:lineRule="auto"/>
        <w:rPr>
          <w:color w:val="000000"/>
          <w:sz w:val="24"/>
          <w:highlight w:val="none"/>
          <w:lang w:val="zh-CN"/>
        </w:rPr>
      </w:pP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line="360" w:lineRule="auto"/>
        <w:tabs>
          <w:tab w:val="left" w:pos="5580" w:leader="none"/>
        </w:tabs>
        <w:rPr>
          <w:color w:val="000000"/>
          <w:sz w:val="24"/>
          <w:szCs w:val="20"/>
          <w:highlight w:val="none"/>
        </w:rPr>
      </w:pPr>
      <w:r/>
      <w:bookmarkStart w:id="709" w:name="_Toc226309803"/>
      <w:r/>
      <w:bookmarkStart w:id="710" w:name="_Toc142311060"/>
      <w:r/>
      <w:bookmarkStart w:id="711" w:name="_Toc305158901"/>
      <w:r/>
      <w:bookmarkStart w:id="712" w:name="_Toc226965832"/>
      <w:r/>
      <w:bookmarkStart w:id="713" w:name="_Toc264969249"/>
      <w:r/>
      <w:bookmarkStart w:id="714" w:name="_Toc127151558"/>
      <w:r/>
      <w:bookmarkStart w:id="715" w:name="_Toc226337255"/>
      <w:r/>
      <w:bookmarkStart w:id="716" w:name="_Toc305158827"/>
      <w:r/>
      <w:bookmarkStart w:id="717" w:name="_Toc265228397"/>
      <w:r/>
      <w:bookmarkStart w:id="718" w:name="_Toc150480796"/>
      <w:r/>
      <w:bookmarkStart w:id="719" w:name="_Toc195842924"/>
      <w:r/>
      <w:bookmarkStart w:id="720" w:name="_Toc150774763"/>
      <w:r/>
      <w:bookmarkStart w:id="721" w:name="_Toc226965749"/>
      <w:r>
        <w:rPr>
          <w:color w:val="000000"/>
          <w:sz w:val="24"/>
          <w:szCs w:val="20"/>
          <w:highlight w:val="none"/>
        </w:rPr>
        <w:t xml:space="preserve">日期：______年______月______日    </w:t>
      </w:r>
      <w:r>
        <w:rPr>
          <w:color w:val="000000"/>
          <w:sz w:val="24"/>
          <w:szCs w:val="20"/>
          <w:highlight w:val="none"/>
        </w:rPr>
      </w:r>
      <w:r/>
    </w:p>
    <w:p>
      <w:pPr>
        <w:pStyle w:val="1122"/>
        <w:jc w:val="left"/>
        <w:spacing w:line="312" w:lineRule="auto"/>
        <w:rPr>
          <w:rFonts w:ascii="宋体" w:hAnsi="宋体" w:cs="宋体"/>
          <w:bCs/>
          <w:color w:val="000000"/>
          <w:sz w:val="24"/>
          <w:highlight w:val="none"/>
        </w:rPr>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195842927"/>
      <w:r/>
      <w:bookmarkStart w:id="723" w:name="_Toc226309806"/>
      <w:r/>
      <w:bookmarkStart w:id="724" w:name="_Toc150774765"/>
      <w:r/>
      <w:bookmarkStart w:id="725" w:name="_Toc226337258"/>
      <w:r/>
      <w:bookmarkStart w:id="726" w:name="_Toc226965752"/>
      <w:r/>
      <w:bookmarkStart w:id="727" w:name="_Toc305158830"/>
      <w:r/>
      <w:bookmarkStart w:id="728" w:name="_Toc127151562"/>
      <w:r/>
      <w:bookmarkStart w:id="729" w:name="_Toc265228400"/>
      <w:r/>
      <w:bookmarkStart w:id="730" w:name="_Toc142311062"/>
      <w:r/>
      <w:bookmarkStart w:id="731" w:name="_Toc264969252"/>
      <w:r/>
      <w:bookmarkStart w:id="732" w:name="_Toc226965835"/>
      <w:r/>
      <w:bookmarkStart w:id="733" w:name="_Toc150480798"/>
      <w:r/>
      <w:bookmarkStart w:id="734" w:name="_Toc305158904"/>
      <w:r/>
      <w:bookmarkStart w:id="735" w:name="_Toc264969251"/>
      <w:r/>
      <w:bookmarkStart w:id="736" w:name="_Toc195842926"/>
      <w:r/>
      <w:bookmarkStart w:id="737" w:name="_Toc226965834"/>
      <w:r/>
      <w:bookmarkStart w:id="738" w:name="_Toc150774764"/>
      <w:r/>
      <w:bookmarkStart w:id="739" w:name="_Toc226965751"/>
      <w:r/>
      <w:bookmarkStart w:id="740" w:name="_Toc127151561"/>
      <w:r/>
      <w:bookmarkStart w:id="741" w:name="_Toc265228399"/>
      <w:r/>
      <w:bookmarkStart w:id="742" w:name="_Toc226309805"/>
      <w:r/>
      <w:bookmarkStart w:id="743" w:name="_Toc305158903"/>
      <w:r/>
      <w:bookmarkStart w:id="744" w:name="_Toc150480797"/>
      <w:r/>
      <w:bookmarkStart w:id="745" w:name="_Toc226337257"/>
      <w:r/>
      <w:bookmarkStart w:id="746" w:name="_Toc142311061"/>
      <w:r/>
      <w:bookmarkStart w:id="747" w:name="_Toc305158829"/>
      <w:r>
        <w:rPr>
          <w:rFonts w:hint="eastAsia" w:ascii="宋体" w:hAnsi="宋体" w:cs="宋体"/>
          <w:bCs/>
          <w:color w:val="000000"/>
          <w:sz w:val="24"/>
          <w:highlight w:val="none"/>
        </w:rPr>
        <w:t xml:space="preserve">分项报价表</w:t>
      </w:r>
      <w:r>
        <w:rPr>
          <w:rFonts w:ascii="宋体" w:hAnsi="宋体" w:cs="宋体"/>
          <w:bCs/>
          <w:color w:val="000000"/>
          <w:sz w:val="24"/>
          <w:highlight w:val="none"/>
        </w:rPr>
      </w:r>
      <w:r/>
    </w:p>
    <w:p>
      <w:pPr>
        <w:pStyle w:val="1122"/>
        <w:spacing w:line="360" w:lineRule="auto"/>
        <w:rPr>
          <w:rFonts w:hint="eastAsia"/>
          <w:color w:val="000000"/>
          <w:sz w:val="24"/>
          <w:szCs w:val="20"/>
          <w:highlight w:val="none"/>
        </w:rPr>
      </w:pPr>
      <w:r/>
      <w:bookmarkStart w:id="748" w:name="_Toc25130"/>
      <w:r/>
      <w:bookmarkStart w:id="749" w:name="_Toc22479"/>
      <w:r/>
      <w:bookmarkStart w:id="750" w:name="_Toc29062"/>
      <w:r/>
      <w:bookmarkStart w:id="751" w:name="_Toc23177"/>
      <w:r>
        <w:rPr>
          <w:rFonts w:hint="eastAsia"/>
          <w:color w:val="000000"/>
          <w:sz w:val="24"/>
          <w:szCs w:val="20"/>
          <w:highlight w:val="none"/>
        </w:rPr>
      </w:r>
      <w:r/>
    </w:p>
    <w:p>
      <w:pPr>
        <w:pStyle w:val="1122"/>
        <w:jc w:val="center"/>
        <w:rPr>
          <w:b/>
          <w:color w:val="000000"/>
          <w:sz w:val="36"/>
          <w:szCs w:val="36"/>
          <w:highlight w:val="none"/>
        </w:rPr>
      </w:pPr>
      <w:r/>
      <w:bookmarkEnd w:id="748"/>
      <w:r/>
      <w:bookmarkEnd w:id="749"/>
      <w:r/>
      <w:bookmarkEnd w:id="750"/>
      <w:r/>
      <w:bookmarkEnd w:id="751"/>
      <w:r>
        <w:rPr>
          <w:rFonts w:hint="eastAsia"/>
          <w:b/>
          <w:color w:val="000000"/>
          <w:sz w:val="36"/>
          <w:szCs w:val="36"/>
          <w:highlight w:val="none"/>
        </w:rPr>
        <w:t xml:space="preserve">分项报价表</w:t>
      </w:r>
      <w:r>
        <w:rPr>
          <w:b/>
          <w:color w:val="000000"/>
          <w:sz w:val="36"/>
          <w:szCs w:val="36"/>
          <w:highlight w:val="none"/>
        </w:rPr>
      </w:r>
      <w:r/>
    </w:p>
    <w:p>
      <w:pPr>
        <w:pStyle w:val="1122"/>
        <w:tabs>
          <w:tab w:val="left" w:pos="1800" w:leader="none"/>
          <w:tab w:val="left" w:pos="5580" w:leader="none"/>
        </w:tabs>
        <w:rPr>
          <w:color w:val="000000"/>
          <w:sz w:val="24"/>
          <w:highlight w:val="none"/>
        </w:rPr>
      </w:pPr>
      <w:r>
        <w:rPr>
          <w:color w:val="000000"/>
          <w:sz w:val="24"/>
          <w:highlight w:val="none"/>
        </w:rPr>
      </w:r>
      <w:r/>
    </w:p>
    <w:p>
      <w:pPr>
        <w:pStyle w:val="1122"/>
        <w:tabs>
          <w:tab w:val="left" w:pos="1800" w:leader="none"/>
          <w:tab w:val="left" w:pos="5580" w:leader="none"/>
        </w:tabs>
        <w:rPr>
          <w:color w:val="000000"/>
          <w:sz w:val="24"/>
          <w:highlight w:val="none"/>
        </w:rPr>
      </w:pPr>
      <w:r>
        <w:rPr>
          <w:color w:val="000000"/>
          <w:sz w:val="24"/>
          <w:highlight w:val="none"/>
        </w:rPr>
        <w:t xml:space="preserve">项目编号/包号：___________ </w:t>
      </w:r>
      <w:r>
        <w:rPr>
          <w:rFonts w:hint="eastAsia"/>
          <w:color w:val="000000"/>
          <w:sz w:val="24"/>
          <w:highlight w:val="none"/>
          <w:lang w:val="en-US" w:eastAsia="zh-CN"/>
        </w:rPr>
        <w:t xml:space="preserve">   </w:t>
      </w:r>
      <w:r>
        <w:rPr>
          <w:color w:val="000000"/>
          <w:sz w:val="24"/>
          <w:highlight w:val="none"/>
        </w:rPr>
        <w:t xml:space="preserve">项目名称：___________</w:t>
      </w:r>
      <w:r>
        <w:rPr>
          <w:rFonts w:hint="eastAsia"/>
          <w:color w:val="000000"/>
          <w:sz w:val="24"/>
          <w:highlight w:val="none"/>
        </w:rPr>
        <w:t xml:space="preserve">     </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p>
      <w:pPr>
        <w:pStyle w:val="1122"/>
        <w:tabs>
          <w:tab w:val="left" w:pos="1800" w:leader="none"/>
          <w:tab w:val="left" w:pos="5580" w:leader="none"/>
        </w:tabs>
        <w:rPr>
          <w:color w:val="000000"/>
          <w:sz w:val="24"/>
          <w:highlight w:val="none"/>
        </w:rPr>
      </w:pPr>
      <w:r>
        <w:rPr>
          <w:color w:val="000000"/>
          <w:sz w:val="24"/>
          <w:highlight w:val="none"/>
        </w:rPr>
      </w:r>
      <w:r/>
    </w:p>
    <w:tbl>
      <w:tblPr>
        <w:tblW w:w="537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122"/>
        <w:gridCol w:w="1913"/>
        <w:gridCol w:w="1974"/>
        <w:gridCol w:w="1530"/>
        <w:gridCol w:w="1552"/>
      </w:tblGrid>
      <w:tr>
        <w:trPr>
          <w:trHeight w:val="1525"/>
        </w:trPr>
        <w:tc>
          <w:tcPr>
            <w:tcW w:w="890"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采购内容</w:t>
            </w:r>
            <w:r>
              <w:rPr>
                <w:rFonts w:ascii="宋体" w:hAnsi="宋体" w:cs="宋体"/>
                <w:color w:val="000000"/>
                <w:sz w:val="24"/>
                <w:szCs w:val="24"/>
                <w:highlight w:val="none"/>
              </w:rPr>
            </w:r>
            <w:r/>
          </w:p>
        </w:tc>
        <w:tc>
          <w:tcPr>
            <w:tcW w:w="2122"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服务车型</w:t>
            </w:r>
            <w:r>
              <w:rPr>
                <w:rFonts w:ascii="宋体" w:hAnsi="宋体" w:cs="宋体"/>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半日租最高限价（元/4小时/50公里）</w:t>
            </w:r>
            <w:r>
              <w:rPr>
                <w:rFonts w:ascii="宋体" w:hAnsi="宋体" w:cs="宋体"/>
                <w:color w:val="000000"/>
                <w:sz w:val="24"/>
                <w:szCs w:val="24"/>
                <w:highlight w:val="none"/>
              </w:rPr>
            </w:r>
            <w:r/>
          </w:p>
        </w:tc>
        <w:tc>
          <w:tcPr>
            <w:tcW w:w="1974" w:type="dxa"/>
            <w:vAlign w:val="center"/>
            <w:textDirection w:val="lrTb"/>
            <w:noWrap w:val="false"/>
          </w:tcPr>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全日租最高限价（元/8小时/100公里）</w:t>
            </w:r>
            <w:r>
              <w:rPr>
                <w:rFonts w:ascii="宋体" w:hAnsi="宋体" w:cs="宋体"/>
                <w:color w:val="000000"/>
                <w:sz w:val="24"/>
                <w:szCs w:val="24"/>
                <w:highlight w:val="none"/>
              </w:rPr>
            </w:r>
            <w:r/>
          </w:p>
        </w:tc>
        <w:tc>
          <w:tcPr>
            <w:tcW w:w="1530" w:type="dxa"/>
            <w:vAlign w:val="center"/>
            <w:textDirection w:val="lrTb"/>
            <w:noWrap w:val="false"/>
          </w:tcPr>
          <w:p>
            <w:pPr>
              <w:pStyle w:val="1122"/>
              <w:jc w:val="center"/>
              <w:spacing w:line="240" w:lineRule="auto"/>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每小时</w:t>
            </w:r>
            <w:r>
              <w:rPr>
                <w:rFonts w:hint="eastAsia" w:ascii="宋体" w:hAnsi="宋体" w:cs="宋体"/>
                <w:b/>
                <w:bCs/>
                <w:color w:val="000000"/>
                <w:sz w:val="24"/>
                <w:szCs w:val="24"/>
                <w:highlight w:val="none"/>
                <w:lang w:val="en-US" w:eastAsia="zh-CN"/>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最高限价</w:t>
            </w:r>
            <w:r>
              <w:rPr>
                <w:rFonts w:ascii="宋体" w:hAnsi="宋体" w:cs="宋体"/>
                <w:color w:val="000000"/>
                <w:sz w:val="24"/>
                <w:szCs w:val="24"/>
                <w:highlight w:val="none"/>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（元/小时）</w:t>
            </w:r>
            <w:r>
              <w:rPr>
                <w:rFonts w:ascii="宋体" w:hAnsi="宋体" w:cs="宋体"/>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每</w:t>
            </w:r>
            <w:r>
              <w:rPr>
                <w:rFonts w:hint="eastAsia" w:ascii="宋体" w:hAnsi="宋体" w:cs="宋体"/>
                <w:b/>
                <w:bCs/>
                <w:color w:val="000000"/>
                <w:sz w:val="24"/>
                <w:szCs w:val="24"/>
                <w:highlight w:val="none"/>
              </w:rPr>
              <w:t xml:space="preserve">公里</w:t>
            </w:r>
            <w:r>
              <w:rPr>
                <w:rFonts w:hint="eastAsia" w:ascii="宋体" w:hAnsi="宋体" w:cs="宋体"/>
                <w:b/>
                <w:bCs/>
                <w:color w:val="000000"/>
                <w:sz w:val="24"/>
                <w:szCs w:val="24"/>
                <w:highlight w:val="none"/>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最高限价</w:t>
            </w:r>
            <w:r>
              <w:rPr>
                <w:rFonts w:ascii="宋体" w:hAnsi="宋体" w:cs="宋体"/>
                <w:color w:val="000000"/>
                <w:sz w:val="24"/>
                <w:szCs w:val="24"/>
                <w:highlight w:val="none"/>
              </w:rPr>
            </w:r>
            <w:r/>
          </w:p>
          <w:p>
            <w:pPr>
              <w:pStyle w:val="1122"/>
              <w:jc w:val="center"/>
              <w:spacing w:line="24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（元/公里）</w:t>
            </w:r>
            <w:r>
              <w:rPr>
                <w:rFonts w:ascii="宋体" w:hAnsi="宋体" w:cs="宋体"/>
                <w:color w:val="000000"/>
                <w:sz w:val="24"/>
                <w:szCs w:val="24"/>
                <w:highlight w:val="none"/>
              </w:rPr>
            </w:r>
            <w:r/>
          </w:p>
        </w:tc>
      </w:tr>
      <w:tr>
        <w:trPr>
          <w:cantSplit/>
          <w:trHeight w:val="470"/>
        </w:trPr>
        <w:tc>
          <w:tcPr>
            <w:tcW w:w="890" w:type="dxa"/>
            <w:vAlign w:val="center"/>
            <w:vMerge w:val="restart"/>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汽车</w:t>
            </w:r>
            <w:r>
              <w:rPr>
                <w:rFonts w:hint="eastAsia" w:ascii="宋体" w:hAnsi="宋体" w:eastAsia="宋体" w:cs="宋体"/>
                <w:b w:val="0"/>
                <w:bCs w:val="0"/>
                <w:color w:val="000000"/>
                <w:sz w:val="24"/>
                <w:szCs w:val="24"/>
                <w:highlight w:val="none"/>
              </w:rPr>
              <w:t xml:space="preserve">租赁</w:t>
            </w: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5座-9座</w:t>
            </w:r>
            <w:r>
              <w:rPr>
                <w:rFonts w:hint="eastAsia" w:ascii="宋体" w:hAnsi="宋体" w:eastAsia="宋体" w:cs="宋体"/>
                <w:b w:val="0"/>
                <w:bCs w:val="0"/>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92"/>
        </w:trPr>
        <w:tc>
          <w:tcPr>
            <w:tcW w:w="890" w:type="dxa"/>
            <w:vAlign w:val="center"/>
            <w:vMerge w:val="continue"/>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座-</w:t>
            </w:r>
            <w:r>
              <w:rPr>
                <w:rFonts w:hint="eastAsia" w:ascii="宋体" w:hAnsi="宋体" w:eastAsia="宋体" w:cs="宋体"/>
                <w:b w:val="0"/>
                <w:bCs w:val="0"/>
                <w:color w:val="000000"/>
                <w:sz w:val="24"/>
                <w:szCs w:val="24"/>
                <w:highlight w:val="none"/>
                <w:lang w:val="en-US" w:eastAsia="zh-CN"/>
              </w:rPr>
              <w:t xml:space="preserve">23</w:t>
            </w:r>
            <w:r>
              <w:rPr>
                <w:rFonts w:hint="eastAsia" w:ascii="宋体" w:hAnsi="宋体" w:eastAsia="宋体" w:cs="宋体"/>
                <w:b w:val="0"/>
                <w:bCs w:val="0"/>
                <w:color w:val="000000"/>
                <w:sz w:val="24"/>
                <w:szCs w:val="24"/>
                <w:highlight w:val="none"/>
              </w:rPr>
              <w:t xml:space="preserve">座</w:t>
            </w:r>
            <w:r>
              <w:rPr>
                <w:rFonts w:hint="eastAsia" w:ascii="宋体" w:hAnsi="宋体" w:eastAsia="宋体" w:cs="宋体"/>
                <w:b w:val="0"/>
                <w:bCs w:val="0"/>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355"/>
        </w:trPr>
        <w:tc>
          <w:tcPr>
            <w:tcW w:w="890" w:type="dxa"/>
            <w:vAlign w:val="center"/>
            <w:vMerge w:val="continue"/>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24座(含)</w:t>
            </w:r>
            <w:r>
              <w:rPr>
                <w:rFonts w:hint="eastAsia" w:ascii="宋体" w:hAnsi="宋体" w:eastAsia="宋体" w:cs="宋体"/>
                <w:b w:val="0"/>
                <w:bCs w:val="0"/>
                <w:color w:val="000000"/>
                <w:sz w:val="24"/>
                <w:szCs w:val="24"/>
                <w:highlight w:val="none"/>
              </w:rPr>
            </w:r>
            <w:r/>
          </w:p>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43座</w:t>
            </w:r>
            <w:r>
              <w:rPr>
                <w:rFonts w:hint="eastAsia" w:ascii="宋体" w:hAnsi="宋体" w:eastAsia="宋体" w:cs="宋体"/>
                <w:b w:val="0"/>
                <w:bCs w:val="0"/>
                <w:color w:val="000000"/>
                <w:sz w:val="24"/>
                <w:szCs w:val="24"/>
                <w:highlight w:val="none"/>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r>
      <w:tr>
        <w:trPr>
          <w:cantSplit/>
          <w:trHeight w:val="703"/>
        </w:trPr>
        <w:tc>
          <w:tcPr>
            <w:tcW w:w="890" w:type="dxa"/>
            <w:vAlign w:val="center"/>
            <w:vMerge w:val="continue"/>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2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44座(含及以上</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1913" w:type="dxa"/>
            <w:vAlign w:val="center"/>
            <w:textDirection w:val="lrTb"/>
            <w:noWrap w:val="false"/>
          </w:tcPr>
          <w:p>
            <w:pPr>
              <w:pStyle w:val="1122"/>
              <w:jc w:val="center"/>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tc>
        <w:tc>
          <w:tcPr>
            <w:tcW w:w="1974"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530"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552" w:type="dxa"/>
            <w:vAlign w:val="center"/>
            <w:textDirection w:val="lrTb"/>
            <w:noWrap w:val="false"/>
          </w:tcPr>
          <w:p>
            <w:pPr>
              <w:pStyle w:val="1122"/>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703"/>
        </w:trPr>
        <w:tc>
          <w:tcPr>
            <w:gridSpan w:val="6"/>
            <w:tcW w:w="9981" w:type="dxa"/>
            <w:vAlign w:val="center"/>
            <w:textDirection w:val="lrTb"/>
            <w:noWrap w:val="false"/>
          </w:tcPr>
          <w:p>
            <w:pPr>
              <w:pStyle w:val="1122"/>
              <w:jc w:val="left"/>
              <w:spacing w:line="240" w:lineRule="auto"/>
              <w:widowControl/>
              <w:rPr>
                <w:rFonts w:hint="eastAsia" w:ascii="宋体" w:hAnsi="宋体" w:eastAsia="宋体" w:cs="宋体"/>
                <w:b w:val="0"/>
                <w:bCs w:val="0"/>
                <w:color w:val="000000"/>
                <w:sz w:val="24"/>
                <w:szCs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hint="eastAsia" w:ascii="宋体" w:hAnsi="宋体" w:eastAsia="宋体" w:cs="宋体"/>
                <w:b w:val="0"/>
                <w:bCs w:val="0"/>
                <w:color w:val="000000"/>
                <w:sz w:val="24"/>
                <w:szCs w:val="24"/>
                <w:highlight w:val="none"/>
              </w:rPr>
            </w:r>
            <w:r/>
          </w:p>
        </w:tc>
      </w:tr>
    </w:tbl>
    <w:p>
      <w:pPr>
        <w:pStyle w:val="1122"/>
        <w:tabs>
          <w:tab w:val="left" w:pos="1800" w:leader="none"/>
          <w:tab w:val="left" w:pos="5580" w:leader="none"/>
        </w:tabs>
        <w:rPr>
          <w:color w:val="000000"/>
          <w:sz w:val="24"/>
          <w:highlight w:val="none"/>
        </w:rPr>
      </w:pP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1122"/>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2.如果不提供分项报价将视为没有实质性响应磋商文件。</w:t>
      </w:r>
      <w:r>
        <w:rPr>
          <w:color w:val="000000"/>
          <w:sz w:val="24"/>
          <w:highlight w:val="none"/>
        </w:rPr>
      </w:r>
      <w:r/>
    </w:p>
    <w:p>
      <w:pPr>
        <w:pStyle w:val="1122"/>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1122"/>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122"/>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5.本采购包中含有多种产品时，</w:t>
      </w:r>
      <w:r>
        <w:rPr>
          <w:rFonts w:hint="eastAsia"/>
          <w:color w:val="000000"/>
          <w:sz w:val="24"/>
          <w:highlight w:val="none"/>
          <w:lang w:val="en-US" w:eastAsia="zh-CN"/>
        </w:rPr>
        <w:t xml:space="preserve">供应商</w:t>
      </w:r>
      <w:r>
        <w:rPr>
          <w:rFonts w:hint="eastAsia"/>
          <w:color w:val="000000"/>
          <w:sz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highlight w:val="none"/>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日期：______年______月______日   </w:t>
      </w:r>
      <w:r>
        <w:rPr>
          <w:color w:val="000000"/>
          <w:sz w:val="24"/>
          <w:highlight w:val="none"/>
          <w:lang w:val="zh-CN"/>
        </w:rPr>
      </w:r>
      <w:r/>
    </w:p>
    <w:p>
      <w:pPr>
        <w:pStyle w:val="1122"/>
        <w:jc w:val="left"/>
        <w:spacing w:line="312"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color w:val="000000"/>
          <w:sz w:val="24"/>
          <w:szCs w:val="20"/>
          <w:highlight w:val="none"/>
        </w:rPr>
      </w:r>
      <w:r/>
    </w:p>
    <w:p>
      <w:pPr>
        <w:pStyle w:val="1122"/>
        <w:spacing w:line="360" w:lineRule="auto"/>
        <w:rPr>
          <w:color w:val="000000"/>
          <w:sz w:val="24"/>
          <w:szCs w:val="20"/>
          <w:highlight w:val="none"/>
        </w:rPr>
      </w:pPr>
      <w:r>
        <w:rPr>
          <w:color w:val="000000"/>
          <w:sz w:val="24"/>
          <w:szCs w:val="20"/>
          <w:highlight w:val="none"/>
        </w:rPr>
      </w:r>
      <w:r/>
    </w:p>
    <w:p>
      <w:pPr>
        <w:pStyle w:val="1122"/>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122"/>
        <w:jc w:val="center"/>
        <w:rPr>
          <w:color w:val="000000"/>
          <w:sz w:val="36"/>
          <w:szCs w:val="36"/>
          <w:highlight w:val="none"/>
        </w:rPr>
      </w:pPr>
      <w:r>
        <w:rPr>
          <w:color w:val="000000"/>
          <w:sz w:val="36"/>
          <w:szCs w:val="36"/>
          <w:highlight w:val="none"/>
        </w:rPr>
      </w:r>
      <w:r/>
    </w:p>
    <w:p>
      <w:pPr>
        <w:pStyle w:val="1122"/>
        <w:spacing w:line="360" w:lineRule="auto"/>
        <w:rPr>
          <w:color w:val="000000"/>
          <w:sz w:val="24"/>
          <w:szCs w:val="20"/>
          <w:highlight w:val="none"/>
        </w:rPr>
      </w:pPr>
      <w:r>
        <w:rPr>
          <w:color w:val="000000"/>
          <w:sz w:val="24"/>
          <w:szCs w:val="20"/>
          <w:highlight w:val="none"/>
        </w:rPr>
      </w:r>
      <w:r/>
    </w:p>
    <w:p>
      <w:pPr>
        <w:pStyle w:val="112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122"/>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122"/>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22"/>
              <w:jc w:val="left"/>
              <w:rPr>
                <w:color w:val="000000"/>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t xml:space="preserve">偏离情况</w:t>
            </w:r>
            <w:r>
              <w:rPr>
                <w:color w:val="000000"/>
                <w:sz w:val="24"/>
                <w:highlight w:val="none"/>
              </w:rPr>
            </w:r>
            <w:r/>
          </w:p>
          <w:p>
            <w:pPr>
              <w:pStyle w:val="1122"/>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bl>
    <w:p>
      <w:pPr>
        <w:pStyle w:val="1122"/>
        <w:jc w:val="left"/>
        <w:tabs>
          <w:tab w:val="left" w:pos="1800" w:leader="none"/>
          <w:tab w:val="left" w:pos="5580" w:leader="none"/>
        </w:tabs>
        <w:rPr>
          <w:color w:val="000000"/>
          <w:sz w:val="24"/>
          <w:highlight w:val="none"/>
        </w:rPr>
      </w:pPr>
      <w:r>
        <w:rPr>
          <w:color w:val="000000"/>
          <w:sz w:val="24"/>
          <w:highlight w:val="none"/>
        </w:rPr>
      </w:r>
      <w:r/>
    </w:p>
    <w:p>
      <w:pPr>
        <w:pStyle w:val="1122"/>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122"/>
        <w:spacing w:line="360" w:lineRule="auto"/>
        <w:rPr>
          <w:color w:val="000000"/>
          <w:sz w:val="24"/>
          <w:szCs w:val="20"/>
          <w:highlight w:val="none"/>
        </w:rPr>
      </w:pPr>
      <w:r>
        <w:rPr>
          <w:color w:val="000000"/>
          <w:sz w:val="24"/>
          <w:szCs w:val="20"/>
          <w:highlight w:val="none"/>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122"/>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color w:val="000000"/>
          <w:sz w:val="24"/>
          <w:szCs w:val="20"/>
          <w:highlight w:val="none"/>
        </w:rPr>
        <w:t xml:space="preserve">采购需求偏离表</w:t>
      </w:r>
      <w:r>
        <w:rPr>
          <w:color w:val="000000"/>
          <w:sz w:val="24"/>
          <w:szCs w:val="20"/>
          <w:highlight w:val="none"/>
        </w:rPr>
      </w:r>
      <w:r/>
    </w:p>
    <w:p>
      <w:pPr>
        <w:pStyle w:val="1122"/>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122"/>
        <w:jc w:val="center"/>
        <w:rPr>
          <w:color w:val="000000"/>
          <w:sz w:val="36"/>
          <w:szCs w:val="36"/>
          <w:highlight w:val="none"/>
        </w:rPr>
      </w:pPr>
      <w:r>
        <w:rPr>
          <w:color w:val="000000"/>
          <w:sz w:val="36"/>
          <w:szCs w:val="36"/>
          <w:highlight w:val="none"/>
        </w:rPr>
      </w:r>
      <w:r/>
    </w:p>
    <w:p>
      <w:pPr>
        <w:pStyle w:val="11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t xml:space="preserve">偏离情况</w:t>
            </w:r>
            <w:r>
              <w:rPr>
                <w:color w:val="000000"/>
                <w:sz w:val="24"/>
                <w:highlight w:val="none"/>
              </w:rPr>
            </w:r>
            <w:r/>
          </w:p>
          <w:p>
            <w:pPr>
              <w:pStyle w:val="1122"/>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bl>
    <w:p>
      <w:pPr>
        <w:pStyle w:val="11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2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122"/>
        <w:jc w:val="left"/>
        <w:tabs>
          <w:tab w:val="left" w:pos="1800" w:leader="none"/>
          <w:tab w:val="left" w:pos="5580" w:leader="none"/>
        </w:tabs>
        <w:rPr>
          <w:color w:val="000000"/>
          <w:sz w:val="24"/>
          <w:highlight w:val="none"/>
        </w:rPr>
      </w:pPr>
      <w:r>
        <w:rPr>
          <w:rFonts w:hint="eastAsia"/>
          <w:color w:val="000000"/>
          <w:sz w:val="24"/>
          <w:highlight w:val="none"/>
        </w:rPr>
        <w:t xml:space="preserve">3.如无偏离，请在表格中填“无偏离”。</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r>
      <w:r/>
    </w:p>
    <w:p>
      <w:pPr>
        <w:pStyle w:val="1122"/>
        <w:rPr>
          <w:color w:val="000000"/>
          <w:sz w:val="24"/>
          <w:szCs w:val="20"/>
          <w:highlight w:val="none"/>
        </w:rPr>
      </w:pPr>
      <w:r>
        <w:rPr>
          <w:color w:val="000000"/>
          <w:sz w:val="24"/>
          <w:szCs w:val="20"/>
          <w:highlight w:val="none"/>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122"/>
        <w:ind w:right="1560"/>
        <w:jc w:val="both"/>
        <w:spacing w:line="588" w:lineRule="exact"/>
        <w:tabs>
          <w:tab w:val="left" w:pos="4860" w:leader="none"/>
        </w:tabs>
        <w:rPr>
          <w:color w:val="000000"/>
          <w:spacing w:val="6"/>
          <w:sz w:val="24"/>
          <w:highlight w:val="none"/>
        </w:rPr>
      </w:pPr>
      <w:r>
        <w:rPr>
          <w:color w:val="000000"/>
          <w:spacing w:val="6"/>
          <w:sz w:val="24"/>
          <w:highlight w:val="none"/>
        </w:rPr>
      </w:r>
      <w:r/>
    </w:p>
    <w:p>
      <w:pPr>
        <w:pStyle w:val="1122"/>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12</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122"/>
        <w:ind w:firstLine="480"/>
        <w:spacing w:line="560" w:lineRule="exact"/>
        <w:rPr>
          <w:color w:val="000000"/>
          <w:sz w:val="24"/>
          <w:szCs w:val="20"/>
          <w:highlight w:val="none"/>
        </w:rPr>
      </w:pPr>
      <w:r>
        <w:rPr>
          <w:rFonts w:hint="eastAsia"/>
          <w:color w:val="000000"/>
          <w:sz w:val="24"/>
          <w:szCs w:val="20"/>
          <w:highlight w:val="none"/>
        </w:rPr>
        <w:t xml:space="preserve">1）项目组织实施方案；</w:t>
      </w:r>
      <w:r>
        <w:rPr>
          <w:color w:val="000000"/>
          <w:sz w:val="24"/>
          <w:szCs w:val="20"/>
          <w:highlight w:val="none"/>
        </w:rPr>
      </w:r>
      <w:r/>
    </w:p>
    <w:p>
      <w:pPr>
        <w:pStyle w:val="1122"/>
        <w:ind w:firstLine="480"/>
        <w:spacing w:line="560" w:lineRule="exact"/>
        <w:rPr>
          <w:color w:val="000000"/>
          <w:sz w:val="24"/>
          <w:szCs w:val="20"/>
          <w:highlight w:val="none"/>
        </w:rPr>
      </w:pPr>
      <w:r>
        <w:rPr>
          <w:rFonts w:hint="eastAsia"/>
          <w:color w:val="000000"/>
          <w:sz w:val="24"/>
          <w:szCs w:val="20"/>
          <w:highlight w:val="none"/>
        </w:rPr>
        <w:t xml:space="preserve">2）项目管理方案；</w:t>
      </w:r>
      <w:r>
        <w:rPr>
          <w:color w:val="000000"/>
          <w:sz w:val="24"/>
          <w:szCs w:val="20"/>
          <w:highlight w:val="none"/>
        </w:rPr>
      </w:r>
      <w:r/>
    </w:p>
    <w:p>
      <w:pPr>
        <w:pStyle w:val="1122"/>
        <w:ind w:firstLine="480"/>
        <w:spacing w:line="560" w:lineRule="exact"/>
        <w:rPr>
          <w:color w:val="000000"/>
          <w:sz w:val="24"/>
          <w:szCs w:val="20"/>
          <w:highlight w:val="none"/>
        </w:rPr>
      </w:pPr>
      <w:r>
        <w:rPr>
          <w:rFonts w:hint="eastAsia"/>
          <w:color w:val="000000"/>
          <w:sz w:val="24"/>
          <w:szCs w:val="20"/>
          <w:highlight w:val="none"/>
        </w:rPr>
        <w:t xml:space="preserve">3）拟达到的标准，配备的人员、设备配置等；</w:t>
      </w:r>
      <w:r>
        <w:rPr>
          <w:color w:val="000000"/>
          <w:sz w:val="24"/>
          <w:szCs w:val="20"/>
          <w:highlight w:val="none"/>
        </w:rPr>
      </w:r>
      <w:r/>
    </w:p>
    <w:p>
      <w:pPr>
        <w:pStyle w:val="1122"/>
        <w:ind w:firstLine="480"/>
        <w:spacing w:line="560" w:lineRule="exact"/>
        <w:rPr>
          <w:color w:val="000000"/>
          <w:sz w:val="24"/>
          <w:szCs w:val="20"/>
          <w:highlight w:val="none"/>
        </w:rPr>
      </w:pPr>
      <w:r>
        <w:rPr>
          <w:rFonts w:hint="eastAsia"/>
          <w:color w:val="000000"/>
          <w:sz w:val="24"/>
          <w:szCs w:val="20"/>
          <w:highlight w:val="none"/>
        </w:rPr>
        <w:t xml:space="preserve">4）培训方案、技术支持等方案；</w:t>
      </w:r>
      <w:r>
        <w:rPr>
          <w:color w:val="000000"/>
          <w:sz w:val="24"/>
          <w:szCs w:val="20"/>
          <w:highlight w:val="none"/>
        </w:rPr>
      </w:r>
      <w:r/>
    </w:p>
    <w:p>
      <w:pPr>
        <w:pStyle w:val="1122"/>
        <w:ind w:firstLine="480"/>
        <w:spacing w:line="560" w:lineRule="exact"/>
        <w:rPr>
          <w:rFonts w:hint="eastAsia"/>
          <w:color w:val="000000"/>
          <w:sz w:val="24"/>
          <w:szCs w:val="20"/>
          <w:highlight w:val="none"/>
        </w:rPr>
      </w:pPr>
      <w:r>
        <w:rPr>
          <w:rFonts w:hint="eastAsia"/>
          <w:color w:val="000000"/>
          <w:sz w:val="24"/>
          <w:szCs w:val="20"/>
          <w:highlight w:val="none"/>
        </w:rPr>
        <w:t xml:space="preserve">5）优惠条款或承诺；</w:t>
      </w:r>
      <w:r>
        <w:rPr>
          <w:rFonts w:hint="eastAsia"/>
          <w:color w:val="000000"/>
          <w:sz w:val="24"/>
          <w:szCs w:val="20"/>
          <w:highlight w:val="none"/>
        </w:rPr>
      </w:r>
      <w:r/>
    </w:p>
    <w:p>
      <w:pPr>
        <w:pStyle w:val="1122"/>
        <w:ind w:firstLine="480"/>
        <w:spacing w:line="560" w:lineRule="exact"/>
        <w:rPr>
          <w:color w:val="000000"/>
          <w:sz w:val="24"/>
          <w:szCs w:val="20"/>
          <w:highlight w:val="none"/>
        </w:rPr>
      </w:pPr>
      <w:r>
        <w:rPr>
          <w:rFonts w:hint="eastAsia"/>
          <w:color w:val="000000"/>
          <w:sz w:val="24"/>
          <w:szCs w:val="20"/>
          <w:highlight w:val="none"/>
        </w:rPr>
        <w:t xml:space="preserve">6）其他。</w:t>
      </w:r>
      <w:r>
        <w:rPr>
          <w:color w:val="000000"/>
          <w:sz w:val="24"/>
          <w:szCs w:val="20"/>
          <w:highlight w:val="none"/>
        </w:rPr>
      </w:r>
      <w:r/>
    </w:p>
    <w:p>
      <w:pPr>
        <w:pStyle w:val="1122"/>
        <w:rPr>
          <w:color w:val="000000"/>
          <w:sz w:val="24"/>
          <w:szCs w:val="20"/>
          <w:highlight w:val="none"/>
        </w:rPr>
      </w:pPr>
      <w:r>
        <w:rPr>
          <w:color w:val="000000"/>
          <w:sz w:val="24"/>
          <w:szCs w:val="20"/>
          <w:highlight w:val="none"/>
        </w:rPr>
      </w:r>
      <w:r/>
    </w:p>
    <w:p>
      <w:pPr>
        <w:pStyle w:val="1122"/>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13</w:t>
      </w:r>
      <w:r>
        <w:rPr>
          <w:rFonts w:hint="eastAsia"/>
          <w:color w:val="000000"/>
          <w:sz w:val="24"/>
          <w:szCs w:val="20"/>
          <w:highlight w:val="none"/>
        </w:rPr>
        <w:t xml:space="preserve"> 参加本项目人员一览表</w:t>
      </w:r>
      <w:r>
        <w:rPr>
          <w:color w:val="000000"/>
          <w:sz w:val="24"/>
          <w:szCs w:val="20"/>
          <w:highlight w:val="none"/>
        </w:rPr>
      </w:r>
      <w:r/>
    </w:p>
    <w:p>
      <w:pPr>
        <w:pStyle w:val="112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22"/>
        <w:spacing w:line="360" w:lineRule="auto"/>
        <w:rPr>
          <w:rFonts w:ascii="宋体" w:hAnsi="宋体"/>
          <w:color w:val="000000"/>
          <w:sz w:val="22"/>
          <w:highlight w:val="none"/>
        </w:rPr>
      </w:pPr>
      <w:r>
        <w:rPr>
          <w:rFonts w:ascii="宋体" w:hAnsi="宋体"/>
          <w:color w:val="000000"/>
          <w:sz w:val="22"/>
          <w:highlight w:val="none"/>
        </w:rPr>
      </w:r>
      <w:r/>
    </w:p>
    <w:p>
      <w:pPr>
        <w:pStyle w:val="112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2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2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122"/>
        <w:spacing w:line="360" w:lineRule="auto"/>
        <w:rPr>
          <w:rFonts w:ascii="宋体" w:hAnsi="宋体"/>
          <w:color w:val="000000"/>
          <w:sz w:val="24"/>
          <w:highlight w:val="none"/>
        </w:rPr>
      </w:pPr>
      <w:r>
        <w:rPr>
          <w:rFonts w:ascii="宋体" w:hAnsi="宋体"/>
          <w:color w:val="000000"/>
          <w:sz w:val="24"/>
          <w:highlight w:val="none"/>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line="360" w:lineRule="auto"/>
        <w:tabs>
          <w:tab w:val="left" w:pos="5580" w:leader="none"/>
        </w:tabs>
        <w:rPr>
          <w:color w:val="000000"/>
          <w:sz w:val="24"/>
          <w:szCs w:val="20"/>
          <w:highlight w:val="none"/>
        </w:rPr>
      </w:pPr>
      <w:r>
        <w:rPr>
          <w:color w:val="000000"/>
          <w:sz w:val="24"/>
          <w:szCs w:val="20"/>
          <w:highlight w:val="none"/>
        </w:rPr>
        <w:t xml:space="preserve">日期：______年______月______日    </w:t>
      </w:r>
      <w:r>
        <w:rPr>
          <w:color w:val="000000"/>
          <w:sz w:val="24"/>
          <w:szCs w:val="20"/>
          <w:highlight w:val="none"/>
        </w:rPr>
      </w:r>
      <w:r/>
    </w:p>
    <w:p>
      <w:pPr>
        <w:pStyle w:val="1122"/>
        <w:rPr>
          <w:color w:val="000000"/>
          <w:sz w:val="24"/>
          <w:szCs w:val="20"/>
          <w:highlight w:val="none"/>
        </w:rPr>
      </w:pPr>
      <w:r>
        <w:rPr>
          <w:color w:val="000000"/>
          <w:sz w:val="22"/>
          <w:highlight w:val="none"/>
        </w:rPr>
        <w:br w:type="page" w:clear="all"/>
      </w:r>
      <w:bookmarkStart w:id="752" w:name="_Toc288738397"/>
      <w:r/>
      <w:bookmarkStart w:id="753" w:name="_Toc288738839"/>
      <w:r>
        <w:rPr>
          <w:rFonts w:hint="eastAsia"/>
          <w:color w:val="000000"/>
          <w:sz w:val="24"/>
          <w:szCs w:val="20"/>
          <w:highlight w:val="none"/>
          <w:lang w:val="en-US" w:eastAsia="zh-CN"/>
        </w:rPr>
        <w:t xml:space="preserve">14</w:t>
      </w:r>
      <w:r>
        <w:rPr>
          <w:rFonts w:hint="eastAsia"/>
          <w:color w:val="000000"/>
          <w:sz w:val="24"/>
          <w:szCs w:val="20"/>
          <w:highlight w:val="none"/>
        </w:rPr>
        <w:t xml:space="preserve">  相关业绩案例一览表</w:t>
      </w:r>
      <w:r>
        <w:rPr>
          <w:color w:val="000000"/>
          <w:sz w:val="24"/>
          <w:szCs w:val="20"/>
          <w:highlight w:val="none"/>
        </w:rPr>
      </w:r>
      <w:r/>
    </w:p>
    <w:p>
      <w:pPr>
        <w:pStyle w:val="1122"/>
        <w:rPr>
          <w:color w:val="000000"/>
          <w:sz w:val="24"/>
          <w:szCs w:val="20"/>
          <w:highlight w:val="none"/>
        </w:rPr>
      </w:pPr>
      <w:r>
        <w:rPr>
          <w:color w:val="000000"/>
          <w:sz w:val="24"/>
          <w:szCs w:val="20"/>
          <w:highlight w:val="none"/>
        </w:rPr>
      </w:r>
      <w:r/>
    </w:p>
    <w:p>
      <w:pPr>
        <w:pStyle w:val="112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52"/>
      <w:r/>
      <w:bookmarkEnd w:id="753"/>
      <w:r>
        <w:rPr>
          <w:rFonts w:ascii="宋体" w:hAnsi="宋体"/>
          <w:b/>
          <w:color w:val="000000"/>
          <w:sz w:val="32"/>
          <w:szCs w:val="32"/>
          <w:highlight w:val="none"/>
        </w:rPr>
      </w:r>
      <w:r/>
    </w:p>
    <w:p>
      <w:pPr>
        <w:pStyle w:val="112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2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22"/>
        <w:spacing w:line="360" w:lineRule="auto"/>
        <w:rPr>
          <w:rFonts w:ascii="宋体" w:hAnsi="宋体" w:cs="宋体"/>
          <w:color w:val="000000"/>
          <w:sz w:val="24"/>
          <w:highlight w:val="none"/>
        </w:rPr>
      </w:pPr>
      <w:r>
        <w:rPr>
          <w:rFonts w:ascii="宋体" w:hAnsi="宋体" w:cs="宋体"/>
          <w:color w:val="000000"/>
          <w:sz w:val="24"/>
          <w:highlight w:val="none"/>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before="25" w:after="25" w:line="360" w:lineRule="auto"/>
        <w:rPr>
          <w:color w:val="000000"/>
          <w:sz w:val="24"/>
          <w:highlight w:val="none"/>
        </w:rPr>
      </w:pPr>
      <w:r>
        <w:rPr>
          <w:color w:val="000000"/>
          <w:sz w:val="24"/>
          <w:highlight w:val="none"/>
        </w:rPr>
        <w:t xml:space="preserve">日期：______年______月______日    </w:t>
      </w:r>
      <w:r>
        <w:rPr>
          <w:color w:val="000000"/>
          <w:sz w:val="24"/>
          <w:highlight w:val="none"/>
        </w:rPr>
      </w:r>
      <w:r/>
    </w:p>
    <w:p>
      <w:pPr>
        <w:pStyle w:val="1122"/>
        <w:rPr>
          <w:rFonts w:hint="eastAsia" w:ascii="方正魏碑_GBK" w:hAnsi="方正魏碑_GBK" w:eastAsia="方正魏碑_GBK" w:cs="方正魏碑_GBK"/>
          <w:b/>
          <w:color w:val="000000"/>
          <w:sz w:val="24"/>
          <w:highlight w:val="none"/>
        </w:rPr>
      </w:pPr>
      <w:r>
        <w:rPr>
          <w:color w:val="000000"/>
          <w:sz w:val="24"/>
          <w:szCs w:val="20"/>
          <w:highlight w:val="none"/>
        </w:rPr>
        <w:br w:type="page" w:clear="all"/>
      </w:r>
      <w:r>
        <w:rPr>
          <w:rFonts w:hint="eastAsia"/>
          <w:color w:val="000000"/>
          <w:sz w:val="24"/>
          <w:szCs w:val="20"/>
          <w:highlight w:val="none"/>
          <w:lang w:val="en-US" w:eastAsia="zh-CN"/>
        </w:rPr>
        <w:t xml:space="preserve">14</w:t>
      </w: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b/>
          <w:color w:val="000000"/>
          <w:sz w:val="24"/>
          <w:highlight w:val="none"/>
        </w:rPr>
      </w:r>
      <w:r/>
    </w:p>
    <w:p>
      <w:pPr>
        <w:pStyle w:val="1122"/>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1122"/>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1122"/>
        <w:jc w:val="center"/>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b/>
          <w:color w:val="000000"/>
          <w:sz w:val="24"/>
          <w:highlight w:val="none"/>
        </w:rPr>
        <w:t xml:space="preserve">关于符合本国产品标准的声明函（采购包号：</w:t>
      </w:r>
      <w:r>
        <w:rPr>
          <w:rFonts w:hint="eastAsia" w:ascii="方正魏碑_GBK" w:hAnsi="方正魏碑_GBK" w:eastAsia="方正魏碑_GBK" w:cs="方正魏碑_GBK"/>
          <w:b/>
          <w:color w:val="000000"/>
          <w:sz w:val="24"/>
          <w:highlight w:val="none"/>
          <w:u w:val="single"/>
        </w:rPr>
        <w:t xml:space="preserve">   </w:t>
      </w:r>
      <w:r>
        <w:rPr>
          <w:rFonts w:hint="eastAsia" w:ascii="方正魏碑_GBK" w:hAnsi="方正魏碑_GBK" w:eastAsia="方正魏碑_GBK" w:cs="方正魏碑_GBK"/>
          <w:b/>
          <w:color w:val="000000"/>
          <w:sz w:val="24"/>
          <w:highlight w:val="none"/>
        </w:rPr>
        <w:t xml:space="preserve">）</w:t>
      </w:r>
      <w:r>
        <w:rPr>
          <w:rFonts w:hint="eastAsia" w:ascii="方正魏碑_GBK" w:hAnsi="方正魏碑_GBK" w:eastAsia="方正魏碑_GBK" w:cs="方正魏碑_GBK"/>
          <w:color w:val="000000"/>
          <w:sz w:val="24"/>
          <w:highlight w:val="none"/>
        </w:rPr>
      </w:r>
      <w:r/>
    </w:p>
    <w:p>
      <w:pPr>
        <w:pStyle w:val="118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185"/>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85"/>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1199"/>
          <w:rFonts w:hint="eastAsia" w:ascii="方正魏碑_GBK" w:hAnsi="方正魏碑_GBK" w:eastAsia="方正魏碑_GBK" w:cs="方正魏碑_GBK"/>
          <w:color w:val="000000"/>
          <w:highlight w:val="none"/>
          <w:u w:val="single"/>
          <w:shd w:val="clear" w:color="auto" w:fill="ffffff"/>
        </w:rPr>
        <w:t xml:space="preserve">（产品名称1）</w:t>
      </w:r>
      <w:r>
        <w:rPr>
          <w:rStyle w:val="1199"/>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99"/>
          <w:rFonts w:hint="eastAsia" w:ascii="方正魏碑_GBK" w:hAnsi="方正魏碑_GBK" w:eastAsia="方正魏碑_GBK" w:cs="方正魏碑_GBK"/>
          <w:color w:val="000000"/>
          <w:highlight w:val="none"/>
          <w:u w:val="single"/>
          <w:shd w:val="clear" w:color="auto" w:fill="ffffff"/>
        </w:rPr>
        <w:t xml:space="preserve">（厂名）</w:t>
      </w:r>
      <w:r>
        <w:rPr>
          <w:rStyle w:val="1199"/>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99"/>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99"/>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99"/>
          <w:rFonts w:hint="eastAsia" w:ascii="方正魏碑_GBK" w:hAnsi="方正魏碑_GBK" w:eastAsia="方正魏碑_GBK" w:cs="方正魏碑_GBK"/>
          <w:color w:val="000000"/>
          <w:highlight w:val="none"/>
          <w:u w:val="single"/>
          <w:shd w:val="clear" w:color="auto" w:fill="ffffff"/>
        </w:rPr>
        <w:t xml:space="preserve">（规定</w:t>
      </w:r>
      <w:r>
        <w:rPr>
          <w:rStyle w:val="1199"/>
          <w:rFonts w:ascii="方正魏碑_GBK" w:hAnsi="方正魏碑_GBK" w:eastAsia="方正魏碑_GBK" w:cs="方正魏碑_GBK"/>
          <w:color w:val="000000"/>
          <w:highlight w:val="none"/>
          <w:u w:val="single"/>
          <w:shd w:val="clear" w:color="auto" w:fill="ffffff"/>
        </w:rPr>
        <w:t xml:space="preserve">比例</w:t>
      </w:r>
      <w:r>
        <w:rPr>
          <w:rStyle w:val="1199"/>
          <w:rFonts w:hint="eastAsia" w:ascii="方正魏碑_GBK" w:hAnsi="方正魏碑_GBK" w:eastAsia="方正魏碑_GBK" w:cs="方正魏碑_GBK"/>
          <w:color w:val="000000"/>
          <w:highlight w:val="none"/>
          <w:u w:val="single"/>
          <w:shd w:val="clear" w:color="auto" w:fill="ffffff"/>
        </w:rPr>
        <w:t xml:space="preserve">）</w:t>
      </w:r>
      <w:r>
        <w:rPr>
          <w:rStyle w:val="1199"/>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99"/>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99"/>
          <w:rFonts w:hint="eastAsia" w:ascii="方正魏碑_GBK" w:hAnsi="方正魏碑_GBK" w:eastAsia="方正魏碑_GBK" w:cs="方正魏碑_GBK"/>
          <w:color w:val="000000"/>
          <w:highlight w:val="none"/>
          <w:u w:val="single"/>
          <w:shd w:val="clear" w:color="auto" w:fill="ffffff"/>
        </w:rPr>
        <w:t xml:space="preserve">（关键</w:t>
      </w:r>
      <w:r>
        <w:rPr>
          <w:rStyle w:val="1199"/>
          <w:rFonts w:ascii="方正魏碑_GBK" w:hAnsi="方正魏碑_GBK" w:eastAsia="方正魏碑_GBK" w:cs="方正魏碑_GBK"/>
          <w:color w:val="000000"/>
          <w:highlight w:val="none"/>
          <w:u w:val="single"/>
          <w:shd w:val="clear" w:color="auto" w:fill="ffffff"/>
        </w:rPr>
        <w:t xml:space="preserve">组件</w:t>
      </w:r>
      <w:r>
        <w:rPr>
          <w:rStyle w:val="1199"/>
          <w:rFonts w:hint="eastAsia" w:ascii="方正魏碑_GBK" w:hAnsi="方正魏碑_GBK" w:eastAsia="方正魏碑_GBK" w:cs="方正魏碑_GBK"/>
          <w:color w:val="000000"/>
          <w:highlight w:val="none"/>
          <w:u w:val="single"/>
          <w:shd w:val="clear" w:color="auto" w:fill="ffffff"/>
        </w:rPr>
        <w:t xml:space="preserve">）</w:t>
      </w:r>
      <w:r>
        <w:rPr>
          <w:rStyle w:val="1199"/>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99"/>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99"/>
          <w:rFonts w:hint="eastAsia" w:ascii="方正魏碑_GBK" w:hAnsi="方正魏碑_GBK" w:eastAsia="方正魏碑_GBK" w:cs="方正魏碑_GBK"/>
          <w:color w:val="000000"/>
          <w:highlight w:val="none"/>
          <w:u w:val="single"/>
          <w:shd w:val="clear" w:color="auto" w:fill="ffffff"/>
        </w:rPr>
        <w:t xml:space="preserve">（关键工序）</w:t>
      </w:r>
      <w:r>
        <w:rPr>
          <w:rStyle w:val="1199"/>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85"/>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1199"/>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99"/>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99"/>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99"/>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99"/>
          <w:rFonts w:hint="eastAsia" w:ascii="方正魏碑_GBK" w:hAnsi="方正魏碑_GBK" w:eastAsia="方正魏碑_GBK" w:cs="方正魏碑_GBK"/>
          <w:color w:val="000000"/>
          <w:highlight w:val="none"/>
          <w:u w:val="single"/>
          <w:shd w:val="clear" w:color="auto" w:fill="ffffff"/>
        </w:rPr>
        <w:t xml:space="preserve">（规定</w:t>
      </w:r>
      <w:r>
        <w:rPr>
          <w:rStyle w:val="1199"/>
          <w:rFonts w:ascii="方正魏碑_GBK" w:hAnsi="方正魏碑_GBK" w:eastAsia="方正魏碑_GBK" w:cs="方正魏碑_GBK"/>
          <w:color w:val="000000"/>
          <w:highlight w:val="none"/>
          <w:u w:val="single"/>
          <w:shd w:val="clear" w:color="auto" w:fill="ffffff"/>
        </w:rPr>
        <w:t xml:space="preserve">比例</w:t>
      </w:r>
      <w:r>
        <w:rPr>
          <w:rStyle w:val="1199"/>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99"/>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99"/>
          <w:rFonts w:hint="eastAsia" w:ascii="方正魏碑_GBK" w:hAnsi="方正魏碑_GBK" w:eastAsia="方正魏碑_GBK" w:cs="方正魏碑_GBK"/>
          <w:color w:val="000000"/>
          <w:highlight w:val="none"/>
          <w:u w:val="single"/>
          <w:shd w:val="clear" w:color="auto" w:fill="ffffff"/>
        </w:rPr>
        <w:t xml:space="preserve">（关键</w:t>
      </w:r>
      <w:r>
        <w:rPr>
          <w:rStyle w:val="1199"/>
          <w:rFonts w:ascii="方正魏碑_GBK" w:hAnsi="方正魏碑_GBK" w:eastAsia="方正魏碑_GBK" w:cs="方正魏碑_GBK"/>
          <w:color w:val="000000"/>
          <w:highlight w:val="none"/>
          <w:u w:val="single"/>
          <w:shd w:val="clear" w:color="auto" w:fill="ffffff"/>
        </w:rPr>
        <w:t xml:space="preserve">组件</w:t>
      </w:r>
      <w:r>
        <w:rPr>
          <w:rStyle w:val="1199"/>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99"/>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99"/>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85"/>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85"/>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85"/>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85"/>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85"/>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85"/>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85"/>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1185"/>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1185"/>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1185"/>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1185"/>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1122"/>
        <w:spacing w:line="360" w:lineRule="auto"/>
        <w:rPr>
          <w:color w:val="000000"/>
          <w:sz w:val="24"/>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15</w:t>
      </w:r>
      <w:r>
        <w:rPr>
          <w:color w:val="000000"/>
          <w:sz w:val="24"/>
          <w:szCs w:val="20"/>
          <w:highlight w:val="none"/>
        </w:rPr>
        <w:t xml:space="preserve"> 磋商文件要求提供或供应商认为应附的其他材料</w:t>
      </w:r>
      <w:r>
        <w:rPr>
          <w:color w:val="000000"/>
          <w:sz w:val="24"/>
          <w:highlight w:val="none"/>
        </w:rPr>
      </w:r>
      <w:r/>
    </w:p>
    <w:p>
      <w:pPr>
        <w:pStyle w:val="1122"/>
        <w:rPr>
          <w:b/>
          <w:color w:val="000000"/>
          <w:sz w:val="36"/>
          <w:szCs w:val="36"/>
          <w:highlight w:val="none"/>
        </w:rPr>
      </w:pPr>
      <w:r>
        <w:rPr>
          <w:b/>
          <w:color w:val="000000"/>
          <w:sz w:val="36"/>
          <w:szCs w:val="36"/>
          <w:highlight w:val="none"/>
        </w:rPr>
      </w:r>
      <w:r/>
    </w:p>
    <w:p>
      <w:pPr>
        <w:pStyle w:val="1122"/>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仿宋">
    <w:panose1 w:val="02010609060101010101"/>
  </w:font>
  <w:font w:name="PMingLiU">
    <w:panose1 w:val="02020500000000000000"/>
  </w:font>
  <w:font w:name="CESI黑体-GB2312">
    <w:panose1 w:val="020B0503020202020204"/>
  </w:font>
  <w:font w:name="Wingdings">
    <w:panose1 w:val="05000000000000000000"/>
  </w:font>
  <w:font w:name="Symbol">
    <w:panose1 w:val="05050102010706020507"/>
  </w:font>
  <w:font w:name="E-BZ">
    <w:panose1 w:val="020B0503020202020204"/>
  </w:font>
  <w:font w:name="MS Mincho">
    <w:panose1 w:val="020206030504050903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center" w:y="1"/>
    </w:pPr>
    <w:r>
      <w:fldChar w:fldCharType="begin"/>
    </w:r>
    <w:r>
      <w:rPr>
        <w:rStyle w:val="1197"/>
      </w:rPr>
      <w:instrText xml:space="preserve">PAGE  </w:instrText>
    </w:r>
    <w:r>
      <w:fldChar w:fldCharType="end"/>
    </w:r>
    <w:r>
      <w:rPr>
        <w:rStyle w:val="1197"/>
      </w:rPr>
    </w:r>
    <w:r/>
  </w:p>
  <w:p>
    <w:pPr>
      <w:pStyle w:val="11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149" w:leader="none"/>
        <w:tab w:val="right" w:pos="8306" w:leader="none"/>
      </w:tabs>
      <w:rPr>
        <w:rFonts w:hint="eastAsia" w:ascii="Times New Roman"/>
      </w:rPr>
      <w:pBdr>
        <w:between w:val="none" w:color="000000" w:sz="8"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12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122"/>
                    </w:pPr>
                    <w:r/>
                    <w:r/>
                  </w:p>
                </w:txbxContent>
              </v:textbox>
            </v:shape>
          </w:pict>
        </mc:Fallback>
      </mc:AlternateContent>
    </w:r>
    <w:r>
      <w:rPr>
        <w:rStyle w:val="1197"/>
        <w:rFonts w:hint="eastAsia" w:ascii="Times New Roman"/>
      </w:rPr>
      <w:tab/>
    </w:r>
    <w:r>
      <w:rPr>
        <w:rFonts w:hint="eastAsia" w:ascii="Times New Roman"/>
      </w:rPr>
    </w:r>
    <w:r/>
  </w:p>
  <w:p>
    <w:pPr>
      <w:pStyle w:val="1171"/>
      <w:jc w:val="center"/>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Bdr>
        <w:between w:val="none" w:color="000000" w:sz="8" w:space="0"/>
      </w:pBdr>
      <w:framePr w:wrap="around" w:vAnchor="text" w:hAnchor="margin" w:xAlign="center" w:y="1"/>
    </w:pPr>
    <w:r>
      <w:rPr>
        <w:rStyle w:val="1197"/>
      </w:rPr>
      <w:fldChar w:fldCharType="begin"/>
    </w:r>
    <w:r>
      <w:rPr>
        <w:rStyle w:val="1197"/>
      </w:rPr>
      <w:instrText xml:space="preserve"> PAGE </w:instrText>
    </w:r>
    <w:r>
      <w:rPr>
        <w:rStyle w:val="1197"/>
      </w:rPr>
      <w:fldChar w:fldCharType="separate"/>
    </w:r>
    <w:r>
      <w:rPr>
        <w:rStyle w:val="1197"/>
      </w:rPr>
      <w:t xml:space="preserve">1</w:t>
    </w:r>
    <w:r>
      <w:rPr>
        <w:rStyle w:val="1197"/>
      </w:rPr>
      <w:fldChar w:fldCharType="end"/>
    </w:r>
    <w:r/>
  </w:p>
  <w:p>
    <w:pPr>
      <w:pStyle w:val="1171"/>
      <w:jc w:val="center"/>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right" w:y="1"/>
    </w:pPr>
    <w:r>
      <w:rPr>
        <w:rStyle w:val="1197"/>
      </w:rPr>
      <w:fldChar w:fldCharType="begin"/>
    </w:r>
    <w:r>
      <w:rPr>
        <w:rStyle w:val="1197"/>
      </w:rPr>
      <w:instrText xml:space="preserve">PAGE  </w:instrText>
    </w:r>
    <w:r>
      <w:rPr>
        <w:rStyle w:val="1197"/>
      </w:rPr>
      <w:fldChar w:fldCharType="end"/>
    </w:r>
    <w:r>
      <w:rPr>
        <w:rStyle w:val="1197"/>
      </w:rPr>
    </w:r>
    <w:r/>
  </w:p>
  <w:p>
    <w:pPr>
      <w:pStyle w:val="1171"/>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right" w:y="1"/>
    </w:pPr>
    <w:r>
      <w:rPr>
        <w:rStyle w:val="1197"/>
      </w:rPr>
      <w:fldChar w:fldCharType="begin"/>
    </w:r>
    <w:r>
      <w:rPr>
        <w:rStyle w:val="1197"/>
      </w:rPr>
      <w:instrText xml:space="preserve">PAGE  </w:instrText>
    </w:r>
    <w:r>
      <w:rPr>
        <w:rStyle w:val="1197"/>
      </w:rPr>
      <w:fldChar w:fldCharType="end"/>
    </w:r>
    <w:r>
      <w:rPr>
        <w:rStyle w:val="1197"/>
      </w:rPr>
    </w:r>
    <w:r/>
  </w:p>
  <w:p>
    <w:pPr>
      <w:pStyle w:val="1171"/>
      <w:ind w:right="360"/>
      <w:tabs>
        <w:tab w:val="center" w:pos="4153" w:leader="none"/>
        <w:tab w:val="right" w:pos="8306" w:leader="none"/>
      </w:tabs>
    </w:pPr>
    <w:r/>
    <w:r/>
  </w:p>
  <w:p>
    <w:pPr>
      <w:pStyle w:val="112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Bdr>
        <w:bottom w:val="single" w:color="000000" w:sz="4" w:space="1"/>
      </w:pBdr>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rPr>
        <w:rFonts w:ascii="宋体" w:hAnsi="宋体"/>
      </w:rPr>
    </w:pPr>
    <w:r>
      <w:rPr>
        <w:rFonts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p>
    <w:pPr>
      <w:pStyle w:val="11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11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11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122"/>
        <w:ind w:left="4941" w:hanging="1140"/>
        <w:tabs>
          <w:tab w:val="num" w:pos="4941" w:leader="none"/>
        </w:tabs>
      </w:pPr>
      <w:rPr>
        <w:rFonts w:hint="eastAsia"/>
      </w:rPr>
    </w:lvl>
    <w:lvl w:ilvl="1">
      <w:start w:val="1"/>
      <w:numFmt w:val="lowerLetter"/>
      <w:isLgl w:val="false"/>
      <w:suff w:val="tab"/>
      <w:lvlText w:val="%2)"/>
      <w:lvlJc w:val="left"/>
      <w:pPr>
        <w:pStyle w:val="1122"/>
        <w:ind w:left="4641" w:hanging="420"/>
        <w:tabs>
          <w:tab w:val="num" w:pos="4641" w:leader="none"/>
        </w:tabs>
      </w:pPr>
    </w:lvl>
    <w:lvl w:ilvl="2">
      <w:start w:val="1"/>
      <w:numFmt w:val="lowerRoman"/>
      <w:isLgl w:val="false"/>
      <w:suff w:val="tab"/>
      <w:lvlText w:val="%3."/>
      <w:lvlJc w:val="right"/>
      <w:pPr>
        <w:pStyle w:val="1122"/>
        <w:ind w:left="5061" w:hanging="420"/>
        <w:tabs>
          <w:tab w:val="num" w:pos="5061" w:leader="none"/>
        </w:tabs>
      </w:pPr>
    </w:lvl>
    <w:lvl w:ilvl="3">
      <w:start w:val="1"/>
      <w:numFmt w:val="decimal"/>
      <w:isLgl w:val="false"/>
      <w:suff w:val="tab"/>
      <w:lvlText w:val="%4."/>
      <w:lvlJc w:val="left"/>
      <w:pPr>
        <w:pStyle w:val="1122"/>
        <w:ind w:left="5481" w:hanging="420"/>
        <w:tabs>
          <w:tab w:val="num" w:pos="5481" w:leader="none"/>
        </w:tabs>
      </w:pPr>
    </w:lvl>
    <w:lvl w:ilvl="4">
      <w:start w:val="1"/>
      <w:numFmt w:val="lowerLetter"/>
      <w:isLgl w:val="false"/>
      <w:suff w:val="tab"/>
      <w:lvlText w:val="%5)"/>
      <w:lvlJc w:val="left"/>
      <w:pPr>
        <w:pStyle w:val="1122"/>
        <w:ind w:left="5901" w:hanging="420"/>
        <w:tabs>
          <w:tab w:val="num" w:pos="5901" w:leader="none"/>
        </w:tabs>
      </w:pPr>
    </w:lvl>
    <w:lvl w:ilvl="5">
      <w:start w:val="1"/>
      <w:numFmt w:val="lowerRoman"/>
      <w:isLgl w:val="false"/>
      <w:suff w:val="tab"/>
      <w:lvlText w:val="%6."/>
      <w:lvlJc w:val="right"/>
      <w:pPr>
        <w:pStyle w:val="1122"/>
        <w:ind w:left="6321" w:hanging="420"/>
        <w:tabs>
          <w:tab w:val="num" w:pos="6321" w:leader="none"/>
        </w:tabs>
      </w:pPr>
    </w:lvl>
    <w:lvl w:ilvl="6">
      <w:start w:val="1"/>
      <w:numFmt w:val="decimal"/>
      <w:isLgl w:val="false"/>
      <w:suff w:val="tab"/>
      <w:lvlText w:val="%7."/>
      <w:lvlJc w:val="left"/>
      <w:pPr>
        <w:pStyle w:val="1122"/>
        <w:ind w:left="6741" w:hanging="420"/>
        <w:tabs>
          <w:tab w:val="num" w:pos="6741" w:leader="none"/>
        </w:tabs>
      </w:pPr>
    </w:lvl>
    <w:lvl w:ilvl="7">
      <w:start w:val="1"/>
      <w:numFmt w:val="lowerLetter"/>
      <w:isLgl w:val="false"/>
      <w:suff w:val="tab"/>
      <w:lvlText w:val="%8)"/>
      <w:lvlJc w:val="left"/>
      <w:pPr>
        <w:pStyle w:val="1122"/>
        <w:ind w:left="7161" w:hanging="420"/>
        <w:tabs>
          <w:tab w:val="num" w:pos="7161" w:leader="none"/>
        </w:tabs>
      </w:pPr>
    </w:lvl>
    <w:lvl w:ilvl="8">
      <w:start w:val="1"/>
      <w:numFmt w:val="lowerRoman"/>
      <w:isLgl w:val="false"/>
      <w:suff w:val="tab"/>
      <w:lvlText w:val="%9."/>
      <w:lvlJc w:val="right"/>
      <w:pPr>
        <w:pStyle w:val="1122"/>
        <w:ind w:left="7581" w:hanging="420"/>
        <w:tabs>
          <w:tab w:val="num" w:pos="7581" w:leader="none"/>
        </w:tabs>
      </w:pPr>
    </w:lvl>
  </w:abstractNum>
  <w:abstractNum w:abstractNumId="4">
    <w:multiLevelType w:val="hybridMultilevel"/>
    <w:lvl w:ilvl="0">
      <w:start w:val="1"/>
      <w:numFmt w:val="decimal"/>
      <w:pStyle w:val="1237"/>
      <w:isLgl w:val="false"/>
      <w:suff w:val="tab"/>
      <w:lvlText w:val="%1."/>
      <w:lvlJc w:val="left"/>
      <w:pPr>
        <w:pStyle w:val="1122"/>
        <w:ind w:left="420" w:hanging="420"/>
      </w:pPr>
    </w:lvl>
    <w:lvl w:ilvl="1">
      <w:start w:val="1"/>
      <w:numFmt w:val="decimal"/>
      <w:isLgl w:val="false"/>
      <w:suff w:val="tab"/>
      <w:lvlText w:val="（%2）"/>
      <w:lvlJc w:val="left"/>
      <w:pPr>
        <w:pStyle w:val="1122"/>
        <w:ind w:left="1140" w:hanging="720"/>
        <w:tabs>
          <w:tab w:val="num" w:pos="1140" w:leader="none"/>
        </w:tabs>
      </w:pPr>
      <w:rPr>
        <w:rFonts w:hint="eastAsia"/>
      </w:r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5">
    <w:multiLevelType w:val="hybridMultilevel"/>
    <w:lvl w:ilvl="0">
      <w:start w:val="1"/>
      <w:numFmt w:val="lowerLetter"/>
      <w:pStyle w:val="1312"/>
      <w:isLgl w:val="false"/>
      <w:suff w:val="tab"/>
      <w:lvlText w:val="%1)"/>
      <w:lvlJc w:val="left"/>
      <w:pPr>
        <w:pStyle w:val="1122"/>
        <w:ind w:left="902" w:hanging="420"/>
      </w:pPr>
      <w:rPr>
        <w:color w:val="000000"/>
      </w:rPr>
    </w:lvl>
    <w:lvl w:ilvl="1">
      <w:start w:val="1"/>
      <w:numFmt w:val="lowerLetter"/>
      <w:isLgl w:val="false"/>
      <w:suff w:val="tab"/>
      <w:lvlText w:val="%2)"/>
      <w:lvlJc w:val="left"/>
      <w:pPr>
        <w:pStyle w:val="1122"/>
        <w:ind w:left="1322" w:hanging="420"/>
      </w:pPr>
    </w:lvl>
    <w:lvl w:ilvl="2">
      <w:start w:val="1"/>
      <w:numFmt w:val="lowerRoman"/>
      <w:isLgl w:val="false"/>
      <w:suff w:val="tab"/>
      <w:lvlText w:val="%3."/>
      <w:lvlJc w:val="right"/>
      <w:pPr>
        <w:pStyle w:val="1122"/>
        <w:ind w:left="1742" w:hanging="420"/>
      </w:pPr>
    </w:lvl>
    <w:lvl w:ilvl="3">
      <w:start w:val="1"/>
      <w:numFmt w:val="decimal"/>
      <w:isLgl w:val="false"/>
      <w:suff w:val="tab"/>
      <w:lvlText w:val="%4."/>
      <w:lvlJc w:val="left"/>
      <w:pPr>
        <w:pStyle w:val="1122"/>
        <w:ind w:left="2162" w:hanging="420"/>
      </w:pPr>
    </w:lvl>
    <w:lvl w:ilvl="4">
      <w:start w:val="1"/>
      <w:numFmt w:val="lowerLetter"/>
      <w:isLgl w:val="false"/>
      <w:suff w:val="tab"/>
      <w:lvlText w:val="%5)"/>
      <w:lvlJc w:val="left"/>
      <w:pPr>
        <w:pStyle w:val="1122"/>
        <w:ind w:left="2582" w:hanging="420"/>
      </w:pPr>
    </w:lvl>
    <w:lvl w:ilvl="5">
      <w:start w:val="1"/>
      <w:numFmt w:val="lowerRoman"/>
      <w:isLgl w:val="false"/>
      <w:suff w:val="tab"/>
      <w:lvlText w:val="%6."/>
      <w:lvlJc w:val="right"/>
      <w:pPr>
        <w:pStyle w:val="1122"/>
        <w:ind w:left="3002" w:hanging="420"/>
      </w:pPr>
    </w:lvl>
    <w:lvl w:ilvl="6">
      <w:start w:val="1"/>
      <w:numFmt w:val="decimal"/>
      <w:isLgl w:val="false"/>
      <w:suff w:val="tab"/>
      <w:lvlText w:val="%7."/>
      <w:lvlJc w:val="left"/>
      <w:pPr>
        <w:pStyle w:val="1122"/>
        <w:ind w:left="3422" w:hanging="420"/>
      </w:pPr>
    </w:lvl>
    <w:lvl w:ilvl="7">
      <w:start w:val="1"/>
      <w:numFmt w:val="lowerLetter"/>
      <w:isLgl w:val="false"/>
      <w:suff w:val="tab"/>
      <w:lvlText w:val="%8)"/>
      <w:lvlJc w:val="left"/>
      <w:pPr>
        <w:pStyle w:val="1122"/>
        <w:ind w:left="3842" w:hanging="420"/>
      </w:pPr>
    </w:lvl>
    <w:lvl w:ilvl="8">
      <w:start w:val="1"/>
      <w:numFmt w:val="lowerRoman"/>
      <w:isLgl w:val="false"/>
      <w:suff w:val="tab"/>
      <w:lvlText w:val="%9."/>
      <w:lvlJc w:val="right"/>
      <w:pPr>
        <w:pStyle w:val="1122"/>
        <w:ind w:left="4262" w:hanging="420"/>
      </w:pPr>
    </w:lvl>
  </w:abstractNum>
  <w:abstractNum w:abstractNumId="6">
    <w:multiLevelType w:val="hybridMultilevel"/>
    <w:lvl w:ilvl="0">
      <w:start w:val="1"/>
      <w:numFmt w:val="decimal"/>
      <w:pStyle w:val="1282"/>
      <w:isLgl w:val="false"/>
      <w:suff w:val="tab"/>
      <w:lvlText w:val="%1."/>
      <w:lvlJc w:val="left"/>
      <w:pPr>
        <w:pStyle w:val="11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31"/>
      <w:isLgl w:val="false"/>
      <w:suff w:val="nothing"/>
      <w:lvlText w:val="%1　"/>
      <w:lvlJc w:val="left"/>
      <w:pPr>
        <w:pStyle w:val="11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2"/>
        <w:ind w:left="-25" w:firstLine="0"/>
      </w:pPr>
      <w:rPr>
        <w:rFonts w:ascii="Times New Roman" w:hAnsi="Times New Roman" w:eastAsia="黑体"/>
        <w:b/>
        <w:i w:val="0"/>
        <w:sz w:val="28"/>
      </w:rPr>
    </w:lvl>
    <w:lvl w:ilvl="3">
      <w:start w:val="1"/>
      <w:numFmt w:val="decimal"/>
      <w:pStyle w:val="1267"/>
      <w:isLgl w:val="false"/>
      <w:suff w:val="nothing"/>
      <w:lvlText w:val="%1.%2.%3.%4　"/>
      <w:lvlJc w:val="left"/>
      <w:pPr>
        <w:pStyle w:val="11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2"/>
        <w:ind w:left="-25" w:firstLine="0"/>
      </w:pPr>
      <w:rPr>
        <w:rFonts w:ascii="Times New Roman" w:hAnsi="Times New Roman" w:eastAsia="宋体"/>
        <w:b/>
        <w:i w:val="0"/>
        <w:sz w:val="28"/>
      </w:rPr>
    </w:lvl>
    <w:lvl w:ilvl="6">
      <w:start w:val="1"/>
      <w:numFmt w:val="lowerLetter"/>
      <w:pStyle w:val="1288"/>
      <w:isLgl w:val="false"/>
      <w:suff w:val="tab"/>
      <w:lvlText w:val="%7) "/>
      <w:lvlJc w:val="left"/>
      <w:pPr>
        <w:pStyle w:val="1122"/>
        <w:ind w:left="-125" w:firstLine="400"/>
        <w:tabs>
          <w:tab w:val="num" w:pos="635" w:leader="none"/>
        </w:tabs>
      </w:pPr>
      <w:rPr>
        <w:rFonts w:ascii="Times New Roman" w:hAnsi="Times New Roman" w:eastAsia="宋体"/>
        <w:b/>
        <w:i w:val="0"/>
        <w:color w:val="000000"/>
        <w:sz w:val="28"/>
        <w:u w:val="none"/>
      </w:rPr>
    </w:lvl>
    <w:lvl w:ilvl="7">
      <w:start w:val="1"/>
      <w:numFmt w:val="decimal"/>
      <w:pStyle w:val="1251"/>
      <w:isLgl w:val="false"/>
      <w:suff w:val="tab"/>
      <w:lvlText w:val="%8) "/>
      <w:lvlJc w:val="left"/>
      <w:pPr>
        <w:pStyle w:val="11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2"/>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122"/>
        <w:ind w:left="768" w:hanging="360"/>
        <w:tabs>
          <w:tab w:val="num" w:pos="768" w:leader="none"/>
        </w:tabs>
      </w:pPr>
      <w:rPr>
        <w:rFonts w:hint="eastAsia"/>
      </w:rPr>
    </w:lvl>
    <w:lvl w:ilvl="1">
      <w:start w:val="1"/>
      <w:numFmt w:val="decimal"/>
      <w:pStyle w:val="1269"/>
      <w:isLgl w:val="false"/>
      <w:suff w:val="tab"/>
      <w:lvlText w:val="%2、"/>
      <w:lvlJc w:val="left"/>
      <w:pPr>
        <w:pStyle w:val="1122"/>
        <w:ind w:left="1188" w:hanging="360"/>
        <w:tabs>
          <w:tab w:val="num" w:pos="1188" w:leader="none"/>
        </w:tabs>
      </w:pPr>
      <w:rPr>
        <w:rFonts w:hint="eastAsia"/>
      </w:rPr>
    </w:lvl>
    <w:lvl w:ilvl="2">
      <w:start w:val="1"/>
      <w:numFmt w:val="decimal"/>
      <w:isLgl w:val="false"/>
      <w:suff w:val="tab"/>
      <w:lvlText w:val="（%3）"/>
      <w:lvlJc w:val="left"/>
      <w:pPr>
        <w:pStyle w:val="1122"/>
        <w:ind w:left="1968" w:hanging="720"/>
        <w:tabs>
          <w:tab w:val="num" w:pos="1968" w:leader="none"/>
        </w:tabs>
      </w:pPr>
      <w:rPr>
        <w:rFonts w:hint="eastAsia"/>
        <w:u w:val="none"/>
      </w:rPr>
    </w:lvl>
    <w:lvl w:ilvl="3">
      <w:start w:val="1"/>
      <w:numFmt w:val="decimal"/>
      <w:isLgl w:val="false"/>
      <w:suff w:val="tab"/>
      <w:lvlText w:val="%4."/>
      <w:lvlJc w:val="left"/>
      <w:pPr>
        <w:pStyle w:val="1122"/>
        <w:ind w:left="2088" w:hanging="420"/>
        <w:tabs>
          <w:tab w:val="num" w:pos="2088" w:leader="none"/>
        </w:tabs>
      </w:pPr>
    </w:lvl>
    <w:lvl w:ilvl="4">
      <w:start w:val="1"/>
      <w:numFmt w:val="lowerLetter"/>
      <w:isLgl w:val="false"/>
      <w:suff w:val="tab"/>
      <w:lvlText w:val="%5)"/>
      <w:lvlJc w:val="left"/>
      <w:pPr>
        <w:pStyle w:val="1122"/>
        <w:ind w:left="2508" w:hanging="420"/>
        <w:tabs>
          <w:tab w:val="num" w:pos="2508" w:leader="none"/>
        </w:tabs>
      </w:pPr>
    </w:lvl>
    <w:lvl w:ilvl="5">
      <w:start w:val="1"/>
      <w:numFmt w:val="lowerRoman"/>
      <w:isLgl w:val="false"/>
      <w:suff w:val="tab"/>
      <w:lvlText w:val="%6."/>
      <w:lvlJc w:val="right"/>
      <w:pPr>
        <w:pStyle w:val="1122"/>
        <w:ind w:left="2928" w:hanging="420"/>
        <w:tabs>
          <w:tab w:val="num" w:pos="2928" w:leader="none"/>
        </w:tabs>
      </w:pPr>
    </w:lvl>
    <w:lvl w:ilvl="6">
      <w:start w:val="1"/>
      <w:numFmt w:val="decimal"/>
      <w:isLgl w:val="false"/>
      <w:suff w:val="tab"/>
      <w:lvlText w:val="%7."/>
      <w:lvlJc w:val="left"/>
      <w:pPr>
        <w:pStyle w:val="1122"/>
        <w:ind w:left="3348" w:hanging="420"/>
        <w:tabs>
          <w:tab w:val="num" w:pos="3348" w:leader="none"/>
        </w:tabs>
      </w:pPr>
    </w:lvl>
    <w:lvl w:ilvl="7">
      <w:start w:val="1"/>
      <w:numFmt w:val="lowerLetter"/>
      <w:isLgl w:val="false"/>
      <w:suff w:val="tab"/>
      <w:lvlText w:val="%8)"/>
      <w:lvlJc w:val="left"/>
      <w:pPr>
        <w:pStyle w:val="1122"/>
        <w:ind w:left="3768" w:hanging="420"/>
        <w:tabs>
          <w:tab w:val="num" w:pos="3768" w:leader="none"/>
        </w:tabs>
      </w:pPr>
    </w:lvl>
    <w:lvl w:ilvl="8">
      <w:start w:val="1"/>
      <w:numFmt w:val="lowerRoman"/>
      <w:isLgl w:val="false"/>
      <w:suff w:val="tab"/>
      <w:lvlText w:val="%9."/>
      <w:lvlJc w:val="right"/>
      <w:pPr>
        <w:pStyle w:val="1122"/>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10">
    <w:multiLevelType w:val="hybridMultilevel"/>
    <w:lvl w:ilvl="0">
      <w:start w:val="1"/>
      <w:numFmt w:val="decimal"/>
      <w:pStyle w:val="1236"/>
      <w:isLgl w:val="false"/>
      <w:suff w:val="tab"/>
      <w:lvlText w:val="%1)"/>
      <w:lvlJc w:val="left"/>
      <w:pPr>
        <w:pStyle w:val="1122"/>
        <w:ind w:left="420" w:hanging="420"/>
      </w:pPr>
    </w:lvl>
    <w:lvl w:ilvl="1">
      <w:start w:val="1"/>
      <w:numFmt w:val="lowerLetter"/>
      <w:isLgl w:val="false"/>
      <w:suff w:val="tab"/>
      <w:lvlText w:val="%2)"/>
      <w:lvlJc w:val="left"/>
      <w:pPr>
        <w:pStyle w:val="1122"/>
        <w:ind w:left="840" w:hanging="420"/>
      </w:p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11">
    <w:multiLevelType w:val="hybridMultilevel"/>
    <w:lvl w:ilvl="0">
      <w:start w:val="2"/>
      <w:numFmt w:val="chineseCounting"/>
      <w:isLgl w:val="false"/>
      <w:suff w:val="nothing"/>
      <w:lvlText w:val="%1、"/>
      <w:lvlJc w:val="left"/>
      <w:pPr>
        <w:pStyle w:val="11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36"/>
      <w:isLgl w:val="false"/>
      <w:suff w:val="tab"/>
      <w:lvlText w:val="%1"/>
      <w:lvlJc w:val="left"/>
      <w:pPr>
        <w:pStyle w:val="1122"/>
        <w:ind w:left="680" w:hanging="680"/>
      </w:pPr>
      <w:rPr>
        <w:rFonts w:hint="eastAsia" w:ascii="宋体" w:hAnsi="宋体" w:eastAsia="宋体"/>
      </w:rPr>
    </w:lvl>
    <w:lvl w:ilvl="1">
      <w:start w:val="1"/>
      <w:numFmt w:val="decimal"/>
      <w:pStyle w:val="1337"/>
      <w:isLgl w:val="false"/>
      <w:suff w:val="tab"/>
      <w:lvlText w:val="%1.%2"/>
      <w:lvlJc w:val="left"/>
      <w:pPr>
        <w:pStyle w:val="1122"/>
        <w:ind w:left="851" w:hanging="851"/>
      </w:pPr>
      <w:rPr>
        <w:rFonts w:hint="eastAsia" w:ascii="宋体" w:hAnsi="宋体" w:eastAsia="宋体"/>
        <w:color w:val="000000"/>
      </w:rPr>
    </w:lvl>
    <w:lvl w:ilvl="2">
      <w:start w:val="1"/>
      <w:numFmt w:val="decimal"/>
      <w:pStyle w:val="1338"/>
      <w:isLgl w:val="false"/>
      <w:suff w:val="tab"/>
      <w:lvlText w:val="%1.%2.%3"/>
      <w:lvlJc w:val="left"/>
      <w:pPr>
        <w:pStyle w:val="1122"/>
        <w:ind w:left="851" w:hanging="851"/>
      </w:pPr>
      <w:rPr>
        <w:rFonts w:hint="eastAsia"/>
      </w:rPr>
    </w:lvl>
    <w:lvl w:ilvl="3">
      <w:start w:val="1"/>
      <w:numFmt w:val="decimal"/>
      <w:isLgl w:val="false"/>
      <w:suff w:val="tab"/>
      <w:lvlText w:val="%1.%2.%3.%4"/>
      <w:lvlJc w:val="left"/>
      <w:pPr>
        <w:pStyle w:val="1122"/>
        <w:ind w:left="680" w:hanging="680"/>
      </w:pPr>
      <w:rPr>
        <w:rFonts w:hint="eastAsia"/>
      </w:rPr>
    </w:lvl>
    <w:lvl w:ilvl="4">
      <w:start w:val="1"/>
      <w:numFmt w:val="decimal"/>
      <w:isLgl w:val="false"/>
      <w:suff w:val="tab"/>
      <w:lvlText w:val="%1.%2.%3.%4.%5"/>
      <w:lvlJc w:val="left"/>
      <w:pPr>
        <w:pStyle w:val="1122"/>
        <w:ind w:left="680" w:hanging="680"/>
      </w:pPr>
      <w:rPr>
        <w:rFonts w:hint="eastAsia"/>
      </w:rPr>
    </w:lvl>
    <w:lvl w:ilvl="5">
      <w:start w:val="1"/>
      <w:numFmt w:val="decimal"/>
      <w:isLgl w:val="false"/>
      <w:suff w:val="tab"/>
      <w:lvlText w:val="%1.%2.%3.%4.%5.%6"/>
      <w:lvlJc w:val="left"/>
      <w:pPr>
        <w:pStyle w:val="1122"/>
        <w:ind w:left="680" w:hanging="680"/>
      </w:pPr>
      <w:rPr>
        <w:rFonts w:hint="eastAsia"/>
      </w:rPr>
    </w:lvl>
    <w:lvl w:ilvl="6">
      <w:start w:val="1"/>
      <w:numFmt w:val="decimal"/>
      <w:isLgl w:val="false"/>
      <w:suff w:val="tab"/>
      <w:lvlText w:val="%1.%2.%3.%4.%5.%6.%7"/>
      <w:lvlJc w:val="left"/>
      <w:pPr>
        <w:pStyle w:val="1122"/>
        <w:ind w:left="680" w:hanging="680"/>
      </w:pPr>
      <w:rPr>
        <w:rFonts w:hint="eastAsia"/>
      </w:rPr>
    </w:lvl>
    <w:lvl w:ilvl="7">
      <w:start w:val="1"/>
      <w:numFmt w:val="decimal"/>
      <w:isLgl w:val="false"/>
      <w:suff w:val="tab"/>
      <w:lvlText w:val="%1.%2.%3.%4.%5.%6.%7.%8"/>
      <w:lvlJc w:val="left"/>
      <w:pPr>
        <w:pStyle w:val="1122"/>
        <w:ind w:left="680" w:hanging="680"/>
      </w:pPr>
      <w:rPr>
        <w:rFonts w:hint="eastAsia"/>
      </w:rPr>
    </w:lvl>
    <w:lvl w:ilvl="8">
      <w:start w:val="1"/>
      <w:numFmt w:val="decimal"/>
      <w:isLgl w:val="false"/>
      <w:suff w:val="tab"/>
      <w:lvlText w:val="%1.%2.%3.%4.%5.%6.%7.%8.%9"/>
      <w:lvlJc w:val="left"/>
      <w:pPr>
        <w:pStyle w:val="1122"/>
        <w:ind w:left="680" w:hanging="680"/>
      </w:pPr>
      <w:rPr>
        <w:rFonts w:hint="eastAsia"/>
      </w:rPr>
    </w:lvl>
  </w:abstractNum>
  <w:abstractNum w:abstractNumId="13">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15">
    <w:multiLevelType w:val="hybridMultilevel"/>
    <w:lvl w:ilvl="0">
      <w:start w:val="1"/>
      <w:numFmt w:val="decimal"/>
      <w:isLgl w:val="false"/>
      <w:suff w:val="space"/>
      <w:lvlText w:val="%1."/>
      <w:lvlJc w:val="left"/>
      <w:pPr>
        <w:pStyle w:val="11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2"/>
  </w:num>
  <w:num w:numId="8">
    <w:abstractNumId w:val="9"/>
  </w:num>
  <w:num w:numId="9">
    <w:abstractNumId w:val="14"/>
  </w:num>
  <w:num w:numId="10">
    <w:abstractNumId w:val="3"/>
  </w:num>
  <w:num w:numId="11">
    <w:abstractNumId w:val="1"/>
  </w:num>
  <w:num w:numId="12">
    <w:abstractNumId w:val="13"/>
  </w:num>
  <w:num w:numId="13">
    <w:abstractNumId w:val="11"/>
  </w:num>
  <w:num w:numId="14">
    <w:abstractNumId w:val="2"/>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name w:val="Heading 1"/>
    <w:basedOn w:val="1122"/>
    <w:next w:val="1122"/>
    <w:link w:val="945"/>
    <w:uiPriority w:val="9"/>
    <w:qFormat/>
    <w:pPr>
      <w:keepLines/>
      <w:keepNext/>
      <w:spacing w:before="480" w:after="200"/>
      <w:outlineLvl w:val="0"/>
    </w:pPr>
    <w:rPr>
      <w:rFonts w:ascii="Arial" w:hAnsi="Arial" w:eastAsia="Arial" w:cs="Arial"/>
      <w:sz w:val="40"/>
      <w:szCs w:val="40"/>
    </w:rPr>
  </w:style>
  <w:style w:type="character" w:styleId="945">
    <w:name w:val="Heading 1 Char"/>
    <w:link w:val="944"/>
    <w:uiPriority w:val="9"/>
    <w:rPr>
      <w:rFonts w:ascii="Arial" w:hAnsi="Arial" w:eastAsia="Arial" w:cs="Arial"/>
      <w:sz w:val="40"/>
      <w:szCs w:val="40"/>
    </w:rPr>
  </w:style>
  <w:style w:type="paragraph" w:styleId="946">
    <w:name w:val="Heading 2"/>
    <w:basedOn w:val="1122"/>
    <w:next w:val="1122"/>
    <w:link w:val="947"/>
    <w:uiPriority w:val="9"/>
    <w:unhideWhenUsed/>
    <w:qFormat/>
    <w:pPr>
      <w:keepLines/>
      <w:keepNext/>
      <w:spacing w:before="360" w:after="200"/>
      <w:outlineLvl w:val="1"/>
    </w:pPr>
    <w:rPr>
      <w:rFonts w:ascii="Arial" w:hAnsi="Arial" w:eastAsia="Arial" w:cs="Arial"/>
      <w:sz w:val="34"/>
    </w:rPr>
  </w:style>
  <w:style w:type="character" w:styleId="947">
    <w:name w:val="Heading 2 Char"/>
    <w:link w:val="946"/>
    <w:uiPriority w:val="9"/>
    <w:rPr>
      <w:rFonts w:ascii="Arial" w:hAnsi="Arial" w:eastAsia="Arial" w:cs="Arial"/>
      <w:sz w:val="34"/>
    </w:rPr>
  </w:style>
  <w:style w:type="paragraph" w:styleId="948">
    <w:name w:val="Heading 3"/>
    <w:basedOn w:val="1122"/>
    <w:next w:val="1122"/>
    <w:link w:val="949"/>
    <w:uiPriority w:val="9"/>
    <w:unhideWhenUsed/>
    <w:qFormat/>
    <w:pPr>
      <w:keepLines/>
      <w:keepNext/>
      <w:spacing w:before="320" w:after="200"/>
      <w:outlineLvl w:val="2"/>
    </w:pPr>
    <w:rPr>
      <w:rFonts w:ascii="Arial" w:hAnsi="Arial" w:eastAsia="Arial" w:cs="Arial"/>
      <w:sz w:val="30"/>
      <w:szCs w:val="30"/>
    </w:rPr>
  </w:style>
  <w:style w:type="character" w:styleId="949">
    <w:name w:val="Heading 3 Char"/>
    <w:link w:val="948"/>
    <w:uiPriority w:val="9"/>
    <w:rPr>
      <w:rFonts w:ascii="Arial" w:hAnsi="Arial" w:eastAsia="Arial" w:cs="Arial"/>
      <w:sz w:val="30"/>
      <w:szCs w:val="30"/>
    </w:rPr>
  </w:style>
  <w:style w:type="paragraph" w:styleId="950">
    <w:name w:val="Heading 4"/>
    <w:basedOn w:val="1122"/>
    <w:next w:val="1122"/>
    <w:link w:val="951"/>
    <w:uiPriority w:val="9"/>
    <w:unhideWhenUsed/>
    <w:qFormat/>
    <w:pPr>
      <w:keepLines/>
      <w:keepNext/>
      <w:spacing w:before="320" w:after="200"/>
      <w:outlineLvl w:val="3"/>
    </w:pPr>
    <w:rPr>
      <w:rFonts w:ascii="Arial" w:hAnsi="Arial" w:eastAsia="Arial" w:cs="Arial"/>
      <w:b/>
      <w:bCs/>
      <w:sz w:val="26"/>
      <w:szCs w:val="26"/>
    </w:rPr>
  </w:style>
  <w:style w:type="character" w:styleId="951">
    <w:name w:val="Heading 4 Char"/>
    <w:link w:val="950"/>
    <w:uiPriority w:val="9"/>
    <w:rPr>
      <w:rFonts w:ascii="Arial" w:hAnsi="Arial" w:eastAsia="Arial" w:cs="Arial"/>
      <w:b/>
      <w:bCs/>
      <w:sz w:val="26"/>
      <w:szCs w:val="26"/>
    </w:rPr>
  </w:style>
  <w:style w:type="paragraph" w:styleId="952">
    <w:name w:val="Heading 5"/>
    <w:basedOn w:val="1122"/>
    <w:next w:val="1122"/>
    <w:link w:val="953"/>
    <w:uiPriority w:val="9"/>
    <w:unhideWhenUsed/>
    <w:qFormat/>
    <w:pPr>
      <w:keepLines/>
      <w:keepNext/>
      <w:spacing w:before="320" w:after="200"/>
      <w:outlineLvl w:val="4"/>
    </w:pPr>
    <w:rPr>
      <w:rFonts w:ascii="Arial" w:hAnsi="Arial" w:eastAsia="Arial" w:cs="Arial"/>
      <w:b/>
      <w:bCs/>
      <w:sz w:val="24"/>
      <w:szCs w:val="24"/>
    </w:rPr>
  </w:style>
  <w:style w:type="character" w:styleId="953">
    <w:name w:val="Heading 5 Char"/>
    <w:link w:val="952"/>
    <w:uiPriority w:val="9"/>
    <w:rPr>
      <w:rFonts w:ascii="Arial" w:hAnsi="Arial" w:eastAsia="Arial" w:cs="Arial"/>
      <w:b/>
      <w:bCs/>
      <w:sz w:val="24"/>
      <w:szCs w:val="24"/>
    </w:rPr>
  </w:style>
  <w:style w:type="paragraph" w:styleId="954">
    <w:name w:val="Heading 6"/>
    <w:basedOn w:val="1122"/>
    <w:next w:val="1122"/>
    <w:link w:val="955"/>
    <w:uiPriority w:val="9"/>
    <w:unhideWhenUsed/>
    <w:qFormat/>
    <w:pPr>
      <w:keepLines/>
      <w:keepNext/>
      <w:spacing w:before="320" w:after="200"/>
      <w:outlineLvl w:val="5"/>
    </w:pPr>
    <w:rPr>
      <w:rFonts w:ascii="Arial" w:hAnsi="Arial" w:eastAsia="Arial" w:cs="Arial"/>
      <w:b/>
      <w:bCs/>
      <w:sz w:val="22"/>
      <w:szCs w:val="22"/>
    </w:rPr>
  </w:style>
  <w:style w:type="character" w:styleId="955">
    <w:name w:val="Heading 6 Char"/>
    <w:link w:val="954"/>
    <w:uiPriority w:val="9"/>
    <w:rPr>
      <w:rFonts w:ascii="Arial" w:hAnsi="Arial" w:eastAsia="Arial" w:cs="Arial"/>
      <w:b/>
      <w:bCs/>
      <w:sz w:val="22"/>
      <w:szCs w:val="22"/>
    </w:rPr>
  </w:style>
  <w:style w:type="paragraph" w:styleId="956">
    <w:name w:val="Heading 7"/>
    <w:basedOn w:val="1122"/>
    <w:next w:val="1122"/>
    <w:link w:val="957"/>
    <w:uiPriority w:val="9"/>
    <w:unhideWhenUsed/>
    <w:qFormat/>
    <w:pPr>
      <w:keepLines/>
      <w:keepNext/>
      <w:spacing w:before="320" w:after="200"/>
      <w:outlineLvl w:val="6"/>
    </w:pPr>
    <w:rPr>
      <w:rFonts w:ascii="Arial" w:hAnsi="Arial" w:eastAsia="Arial" w:cs="Arial"/>
      <w:b/>
      <w:bCs/>
      <w:i/>
      <w:iCs/>
      <w:sz w:val="22"/>
      <w:szCs w:val="22"/>
    </w:rPr>
  </w:style>
  <w:style w:type="character" w:styleId="957">
    <w:name w:val="Heading 7 Char"/>
    <w:link w:val="956"/>
    <w:uiPriority w:val="9"/>
    <w:rPr>
      <w:rFonts w:ascii="Arial" w:hAnsi="Arial" w:eastAsia="Arial" w:cs="Arial"/>
      <w:b/>
      <w:bCs/>
      <w:i/>
      <w:iCs/>
      <w:sz w:val="22"/>
      <w:szCs w:val="22"/>
    </w:rPr>
  </w:style>
  <w:style w:type="paragraph" w:styleId="958">
    <w:name w:val="Heading 8"/>
    <w:basedOn w:val="1122"/>
    <w:next w:val="1122"/>
    <w:link w:val="959"/>
    <w:uiPriority w:val="9"/>
    <w:unhideWhenUsed/>
    <w:qFormat/>
    <w:pPr>
      <w:keepLines/>
      <w:keepNext/>
      <w:spacing w:before="320" w:after="200"/>
      <w:outlineLvl w:val="7"/>
    </w:pPr>
    <w:rPr>
      <w:rFonts w:ascii="Arial" w:hAnsi="Arial" w:eastAsia="Arial" w:cs="Arial"/>
      <w:i/>
      <w:iCs/>
      <w:sz w:val="22"/>
      <w:szCs w:val="22"/>
    </w:rPr>
  </w:style>
  <w:style w:type="character" w:styleId="959">
    <w:name w:val="Heading 8 Char"/>
    <w:link w:val="958"/>
    <w:uiPriority w:val="9"/>
    <w:rPr>
      <w:rFonts w:ascii="Arial" w:hAnsi="Arial" w:eastAsia="Arial" w:cs="Arial"/>
      <w:i/>
      <w:iCs/>
      <w:sz w:val="22"/>
      <w:szCs w:val="22"/>
    </w:rPr>
  </w:style>
  <w:style w:type="paragraph" w:styleId="960">
    <w:name w:val="Heading 9"/>
    <w:basedOn w:val="1122"/>
    <w:next w:val="1122"/>
    <w:link w:val="961"/>
    <w:uiPriority w:val="9"/>
    <w:unhideWhenUsed/>
    <w:qFormat/>
    <w:pPr>
      <w:keepLines/>
      <w:keepNext/>
      <w:spacing w:before="320" w:after="200"/>
      <w:outlineLvl w:val="8"/>
    </w:pPr>
    <w:rPr>
      <w:rFonts w:ascii="Arial" w:hAnsi="Arial" w:eastAsia="Arial" w:cs="Arial"/>
      <w:i/>
      <w:iCs/>
      <w:sz w:val="21"/>
      <w:szCs w:val="21"/>
    </w:rPr>
  </w:style>
  <w:style w:type="character" w:styleId="961">
    <w:name w:val="Heading 9 Char"/>
    <w:link w:val="960"/>
    <w:uiPriority w:val="9"/>
    <w:rPr>
      <w:rFonts w:ascii="Arial" w:hAnsi="Arial" w:eastAsia="Arial" w:cs="Arial"/>
      <w:i/>
      <w:iCs/>
      <w:sz w:val="21"/>
      <w:szCs w:val="21"/>
    </w:rPr>
  </w:style>
  <w:style w:type="paragraph" w:styleId="962">
    <w:name w:val="List Paragraph"/>
    <w:basedOn w:val="1122"/>
    <w:uiPriority w:val="34"/>
    <w:qFormat/>
    <w:pPr>
      <w:contextualSpacing/>
      <w:ind w:left="720"/>
    </w:pPr>
  </w:style>
  <w:style w:type="paragraph" w:styleId="963">
    <w:name w:val="No Spacing"/>
    <w:uiPriority w:val="1"/>
    <w:qFormat/>
    <w:pPr>
      <w:spacing w:before="0" w:after="0" w:line="240" w:lineRule="auto"/>
    </w:pPr>
  </w:style>
  <w:style w:type="paragraph" w:styleId="964">
    <w:name w:val="Title"/>
    <w:basedOn w:val="1122"/>
    <w:next w:val="1122"/>
    <w:link w:val="965"/>
    <w:uiPriority w:val="10"/>
    <w:qFormat/>
    <w:pPr>
      <w:contextualSpacing/>
      <w:spacing w:before="300" w:after="200"/>
    </w:pPr>
    <w:rPr>
      <w:sz w:val="48"/>
      <w:szCs w:val="48"/>
    </w:rPr>
  </w:style>
  <w:style w:type="character" w:styleId="965">
    <w:name w:val="Title Char"/>
    <w:link w:val="964"/>
    <w:uiPriority w:val="10"/>
    <w:rPr>
      <w:sz w:val="48"/>
      <w:szCs w:val="48"/>
    </w:rPr>
  </w:style>
  <w:style w:type="paragraph" w:styleId="966">
    <w:name w:val="Subtitle"/>
    <w:basedOn w:val="1122"/>
    <w:next w:val="1122"/>
    <w:link w:val="967"/>
    <w:uiPriority w:val="11"/>
    <w:qFormat/>
    <w:pPr>
      <w:spacing w:before="200" w:after="200"/>
    </w:pPr>
    <w:rPr>
      <w:sz w:val="24"/>
      <w:szCs w:val="24"/>
    </w:rPr>
  </w:style>
  <w:style w:type="character" w:styleId="967">
    <w:name w:val="Subtitle Char"/>
    <w:link w:val="966"/>
    <w:uiPriority w:val="11"/>
    <w:rPr>
      <w:sz w:val="24"/>
      <w:szCs w:val="24"/>
    </w:rPr>
  </w:style>
  <w:style w:type="paragraph" w:styleId="968">
    <w:name w:val="Quote"/>
    <w:basedOn w:val="1122"/>
    <w:next w:val="1122"/>
    <w:link w:val="969"/>
    <w:uiPriority w:val="29"/>
    <w:qFormat/>
    <w:pPr>
      <w:ind w:left="720" w:right="720"/>
    </w:pPr>
    <w:rPr>
      <w:i/>
    </w:rPr>
  </w:style>
  <w:style w:type="character" w:styleId="969">
    <w:name w:val="Quote Char"/>
    <w:link w:val="968"/>
    <w:uiPriority w:val="29"/>
    <w:rPr>
      <w:i/>
    </w:rPr>
  </w:style>
  <w:style w:type="paragraph" w:styleId="970">
    <w:name w:val="Intense Quote"/>
    <w:basedOn w:val="1122"/>
    <w:next w:val="1122"/>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Intense Quote Char"/>
    <w:link w:val="970"/>
    <w:uiPriority w:val="30"/>
    <w:rPr>
      <w:i/>
    </w:rPr>
  </w:style>
  <w:style w:type="paragraph" w:styleId="972">
    <w:name w:val="Header"/>
    <w:basedOn w:val="1122"/>
    <w:link w:val="973"/>
    <w:uiPriority w:val="99"/>
    <w:unhideWhenUsed/>
    <w:pPr>
      <w:spacing w:after="0" w:line="240" w:lineRule="auto"/>
      <w:tabs>
        <w:tab w:val="center" w:pos="7143" w:leader="none"/>
        <w:tab w:val="right" w:pos="14287" w:leader="none"/>
      </w:tabs>
    </w:pPr>
  </w:style>
  <w:style w:type="character" w:styleId="973">
    <w:name w:val="Header Char"/>
    <w:link w:val="972"/>
    <w:uiPriority w:val="99"/>
  </w:style>
  <w:style w:type="paragraph" w:styleId="974">
    <w:name w:val="Footer"/>
    <w:basedOn w:val="1122"/>
    <w:link w:val="977"/>
    <w:uiPriority w:val="99"/>
    <w:unhideWhenUsed/>
    <w:pPr>
      <w:spacing w:after="0" w:line="240" w:lineRule="auto"/>
      <w:tabs>
        <w:tab w:val="center" w:pos="7143" w:leader="none"/>
        <w:tab w:val="right" w:pos="14287" w:leader="none"/>
      </w:tabs>
    </w:pPr>
  </w:style>
  <w:style w:type="character" w:styleId="975">
    <w:name w:val="Footer Char"/>
    <w:link w:val="974"/>
    <w:uiPriority w:val="99"/>
  </w:style>
  <w:style w:type="paragraph" w:styleId="976">
    <w:name w:val="Caption"/>
    <w:basedOn w:val="1122"/>
    <w:next w:val="1122"/>
    <w:uiPriority w:val="35"/>
    <w:semiHidden/>
    <w:unhideWhenUsed/>
    <w:qFormat/>
    <w:pPr>
      <w:spacing w:line="276" w:lineRule="auto"/>
    </w:pPr>
    <w:rPr>
      <w:b/>
      <w:bCs/>
      <w:color w:val="4f81bd" w:themeColor="accent1"/>
      <w:sz w:val="18"/>
      <w:szCs w:val="18"/>
    </w:rPr>
  </w:style>
  <w:style w:type="character" w:styleId="977">
    <w:name w:val="Caption Char"/>
    <w:basedOn w:val="976"/>
    <w:link w:val="974"/>
    <w:uiPriority w:val="99"/>
  </w:style>
  <w:style w:type="table" w:styleId="9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4">
    <w:name w:val="Hyperlink"/>
    <w:uiPriority w:val="99"/>
    <w:unhideWhenUsed/>
    <w:rPr>
      <w:color w:val="0000ff" w:themeColor="hyperlink"/>
      <w:u w:val="single"/>
    </w:rPr>
  </w:style>
  <w:style w:type="paragraph" w:styleId="1105">
    <w:name w:val="footnote text"/>
    <w:basedOn w:val="1122"/>
    <w:link w:val="1106"/>
    <w:uiPriority w:val="99"/>
    <w:semiHidden/>
    <w:unhideWhenUsed/>
    <w:pPr>
      <w:spacing w:after="40" w:line="240" w:lineRule="auto"/>
    </w:pPr>
    <w:rPr>
      <w:sz w:val="18"/>
    </w:rPr>
  </w:style>
  <w:style w:type="character" w:styleId="1106">
    <w:name w:val="Footnote Text Char"/>
    <w:link w:val="1105"/>
    <w:uiPriority w:val="99"/>
    <w:rPr>
      <w:sz w:val="18"/>
    </w:rPr>
  </w:style>
  <w:style w:type="character" w:styleId="1107">
    <w:name w:val="footnote reference"/>
    <w:uiPriority w:val="99"/>
    <w:unhideWhenUsed/>
    <w:rPr>
      <w:vertAlign w:val="superscript"/>
    </w:rPr>
  </w:style>
  <w:style w:type="paragraph" w:styleId="1108">
    <w:name w:val="endnote text"/>
    <w:basedOn w:val="1122"/>
    <w:link w:val="1109"/>
    <w:uiPriority w:val="99"/>
    <w:semiHidden/>
    <w:unhideWhenUsed/>
    <w:pPr>
      <w:spacing w:after="0" w:line="240" w:lineRule="auto"/>
    </w:pPr>
    <w:rPr>
      <w:sz w:val="20"/>
    </w:rPr>
  </w:style>
  <w:style w:type="character" w:styleId="1109">
    <w:name w:val="Endnote Text Char"/>
    <w:link w:val="1108"/>
    <w:uiPriority w:val="99"/>
    <w:rPr>
      <w:sz w:val="20"/>
    </w:rPr>
  </w:style>
  <w:style w:type="character" w:styleId="1110">
    <w:name w:val="endnote reference"/>
    <w:uiPriority w:val="99"/>
    <w:semiHidden/>
    <w:unhideWhenUsed/>
    <w:rPr>
      <w:vertAlign w:val="superscript"/>
    </w:rPr>
  </w:style>
  <w:style w:type="paragraph" w:styleId="1111">
    <w:name w:val="toc 1"/>
    <w:basedOn w:val="1122"/>
    <w:next w:val="1122"/>
    <w:uiPriority w:val="39"/>
    <w:unhideWhenUsed/>
    <w:pPr>
      <w:ind w:left="0" w:right="0" w:firstLine="0"/>
      <w:spacing w:after="57"/>
    </w:pPr>
  </w:style>
  <w:style w:type="paragraph" w:styleId="1112">
    <w:name w:val="toc 2"/>
    <w:basedOn w:val="1122"/>
    <w:next w:val="1122"/>
    <w:uiPriority w:val="39"/>
    <w:unhideWhenUsed/>
    <w:pPr>
      <w:ind w:left="283" w:right="0" w:firstLine="0"/>
      <w:spacing w:after="57"/>
    </w:pPr>
  </w:style>
  <w:style w:type="paragraph" w:styleId="1113">
    <w:name w:val="toc 3"/>
    <w:basedOn w:val="1122"/>
    <w:next w:val="1122"/>
    <w:uiPriority w:val="39"/>
    <w:unhideWhenUsed/>
    <w:pPr>
      <w:ind w:left="567" w:right="0" w:firstLine="0"/>
      <w:spacing w:after="57"/>
    </w:pPr>
  </w:style>
  <w:style w:type="paragraph" w:styleId="1114">
    <w:name w:val="toc 4"/>
    <w:basedOn w:val="1122"/>
    <w:next w:val="1122"/>
    <w:uiPriority w:val="39"/>
    <w:unhideWhenUsed/>
    <w:pPr>
      <w:ind w:left="850" w:right="0" w:firstLine="0"/>
      <w:spacing w:after="57"/>
    </w:pPr>
  </w:style>
  <w:style w:type="paragraph" w:styleId="1115">
    <w:name w:val="toc 5"/>
    <w:basedOn w:val="1122"/>
    <w:next w:val="1122"/>
    <w:uiPriority w:val="39"/>
    <w:unhideWhenUsed/>
    <w:pPr>
      <w:ind w:left="1134" w:right="0" w:firstLine="0"/>
      <w:spacing w:after="57"/>
    </w:pPr>
  </w:style>
  <w:style w:type="paragraph" w:styleId="1116">
    <w:name w:val="toc 6"/>
    <w:basedOn w:val="1122"/>
    <w:next w:val="1122"/>
    <w:uiPriority w:val="39"/>
    <w:unhideWhenUsed/>
    <w:pPr>
      <w:ind w:left="1417" w:right="0" w:firstLine="0"/>
      <w:spacing w:after="57"/>
    </w:pPr>
  </w:style>
  <w:style w:type="paragraph" w:styleId="1117">
    <w:name w:val="toc 7"/>
    <w:basedOn w:val="1122"/>
    <w:next w:val="1122"/>
    <w:uiPriority w:val="39"/>
    <w:unhideWhenUsed/>
    <w:pPr>
      <w:ind w:left="1701" w:right="0" w:firstLine="0"/>
      <w:spacing w:after="57"/>
    </w:pPr>
  </w:style>
  <w:style w:type="paragraph" w:styleId="1118">
    <w:name w:val="toc 8"/>
    <w:basedOn w:val="1122"/>
    <w:next w:val="1122"/>
    <w:uiPriority w:val="39"/>
    <w:unhideWhenUsed/>
    <w:pPr>
      <w:ind w:left="1984" w:right="0" w:firstLine="0"/>
      <w:spacing w:after="57"/>
    </w:pPr>
  </w:style>
  <w:style w:type="paragraph" w:styleId="1119">
    <w:name w:val="toc 9"/>
    <w:basedOn w:val="1122"/>
    <w:next w:val="1122"/>
    <w:uiPriority w:val="39"/>
    <w:unhideWhenUsed/>
    <w:pPr>
      <w:ind w:left="2268" w:right="0" w:firstLine="0"/>
      <w:spacing w:after="57"/>
    </w:pPr>
  </w:style>
  <w:style w:type="paragraph" w:styleId="1120">
    <w:name w:val="TOC Heading"/>
    <w:uiPriority w:val="39"/>
    <w:unhideWhenUsed/>
  </w:style>
  <w:style w:type="paragraph" w:styleId="1121">
    <w:name w:val="table of figures"/>
    <w:basedOn w:val="1122"/>
    <w:next w:val="1122"/>
    <w:uiPriority w:val="99"/>
    <w:unhideWhenUsed/>
    <w:pPr>
      <w:spacing w:after="0" w:afterAutospacing="0"/>
    </w:pPr>
  </w:style>
  <w:style w:type="paragraph" w:styleId="1122" w:default="1">
    <w:name w:val="Normal"/>
    <w:next w:val="1122"/>
    <w:link w:val="1122"/>
    <w:qFormat/>
    <w:pPr>
      <w:jc w:val="both"/>
      <w:widowControl w:val="off"/>
    </w:pPr>
    <w:rPr>
      <w:sz w:val="21"/>
      <w:szCs w:val="24"/>
      <w:lang w:val="en-US" w:eastAsia="zh-CN" w:bidi="ar-SA"/>
    </w:rPr>
  </w:style>
  <w:style w:type="paragraph" w:styleId="1123">
    <w:name w:val="标题 1"/>
    <w:basedOn w:val="1122"/>
    <w:next w:val="1122"/>
    <w:link w:val="1134"/>
    <w:qFormat/>
    <w:pPr>
      <w:jc w:val="center"/>
      <w:keepLines/>
      <w:keepNext/>
      <w:spacing w:before="240" w:after="120" w:line="300" w:lineRule="auto"/>
      <w:outlineLvl w:val="0"/>
    </w:pPr>
    <w:rPr>
      <w:rFonts w:ascii="宋体"/>
      <w:b/>
      <w:sz w:val="32"/>
      <w:szCs w:val="20"/>
    </w:rPr>
  </w:style>
  <w:style w:type="paragraph" w:styleId="1124">
    <w:name w:val="标题 2"/>
    <w:basedOn w:val="1122"/>
    <w:next w:val="1136"/>
    <w:link w:val="1135"/>
    <w:qFormat/>
    <w:pPr>
      <w:jc w:val="center"/>
      <w:keepLines/>
      <w:keepNext/>
      <w:spacing w:before="120" w:line="300" w:lineRule="auto"/>
      <w:outlineLvl w:val="1"/>
    </w:pPr>
    <w:rPr>
      <w:rFonts w:ascii="Arial" w:hAnsi="Arial" w:eastAsia="黑体"/>
      <w:b/>
      <w:sz w:val="30"/>
      <w:szCs w:val="20"/>
    </w:rPr>
  </w:style>
  <w:style w:type="paragraph" w:styleId="1125">
    <w:name w:val="标题 3"/>
    <w:basedOn w:val="1122"/>
    <w:next w:val="1122"/>
    <w:link w:val="1138"/>
    <w:qFormat/>
    <w:pPr>
      <w:jc w:val="left"/>
      <w:keepLines/>
      <w:keepNext/>
      <w:spacing w:before="360" w:after="120"/>
      <w:outlineLvl w:val="2"/>
    </w:pPr>
    <w:rPr>
      <w:rFonts w:ascii="宋体"/>
      <w:b/>
      <w:sz w:val="24"/>
      <w:szCs w:val="20"/>
      <w:u w:val="single"/>
    </w:rPr>
  </w:style>
  <w:style w:type="paragraph" w:styleId="1126">
    <w:name w:val="标题 4"/>
    <w:basedOn w:val="1122"/>
    <w:next w:val="1122"/>
    <w:link w:val="1139"/>
    <w:qFormat/>
    <w:pPr>
      <w:keepLines/>
      <w:keepNext/>
      <w:spacing w:before="280" w:after="290" w:line="376" w:lineRule="atLeast"/>
      <w:outlineLvl w:val="3"/>
    </w:pPr>
    <w:rPr>
      <w:rFonts w:ascii="Arial" w:hAnsi="Arial" w:eastAsia="黑体"/>
      <w:b/>
      <w:sz w:val="28"/>
      <w:szCs w:val="20"/>
    </w:rPr>
  </w:style>
  <w:style w:type="paragraph" w:styleId="1127">
    <w:name w:val="标题 5"/>
    <w:basedOn w:val="1122"/>
    <w:next w:val="1122"/>
    <w:link w:val="1140"/>
    <w:qFormat/>
    <w:pPr>
      <w:keepLines/>
      <w:keepNext/>
      <w:spacing w:before="280" w:after="290" w:line="376" w:lineRule="atLeast"/>
      <w:outlineLvl w:val="4"/>
    </w:pPr>
    <w:rPr>
      <w:b/>
      <w:sz w:val="28"/>
      <w:szCs w:val="20"/>
    </w:rPr>
  </w:style>
  <w:style w:type="paragraph" w:styleId="1128">
    <w:name w:val="标题 6"/>
    <w:basedOn w:val="1122"/>
    <w:next w:val="1122"/>
    <w:link w:val="1141"/>
    <w:qFormat/>
    <w:pPr>
      <w:keepLines/>
      <w:keepNext/>
      <w:spacing w:before="240" w:after="64" w:line="320" w:lineRule="atLeast"/>
      <w:outlineLvl w:val="5"/>
    </w:pPr>
    <w:rPr>
      <w:rFonts w:ascii="Arial" w:hAnsi="Arial" w:eastAsia="黑体"/>
      <w:b/>
      <w:sz w:val="24"/>
      <w:szCs w:val="20"/>
    </w:rPr>
  </w:style>
  <w:style w:type="paragraph" w:styleId="1129">
    <w:name w:val="标题 7"/>
    <w:basedOn w:val="1122"/>
    <w:next w:val="1122"/>
    <w:link w:val="1142"/>
    <w:qFormat/>
    <w:pPr>
      <w:keepLines/>
      <w:keepNext/>
      <w:spacing w:before="240" w:after="64" w:line="320" w:lineRule="atLeast"/>
      <w:outlineLvl w:val="6"/>
    </w:pPr>
    <w:rPr>
      <w:b/>
      <w:sz w:val="24"/>
      <w:szCs w:val="20"/>
    </w:rPr>
  </w:style>
  <w:style w:type="paragraph" w:styleId="1130">
    <w:name w:val="标题 8"/>
    <w:basedOn w:val="1122"/>
    <w:next w:val="1122"/>
    <w:link w:val="1143"/>
    <w:qFormat/>
    <w:pPr>
      <w:keepLines/>
      <w:keepNext/>
      <w:spacing w:before="240" w:after="64" w:line="320" w:lineRule="atLeast"/>
      <w:outlineLvl w:val="7"/>
    </w:pPr>
    <w:rPr>
      <w:rFonts w:ascii="Arial" w:hAnsi="Arial" w:eastAsia="黑体"/>
      <w:sz w:val="24"/>
      <w:szCs w:val="20"/>
    </w:rPr>
  </w:style>
  <w:style w:type="paragraph" w:styleId="1131">
    <w:name w:val="标题 9"/>
    <w:basedOn w:val="1122"/>
    <w:next w:val="1122"/>
    <w:link w:val="1144"/>
    <w:qFormat/>
    <w:pPr>
      <w:keepLines/>
      <w:keepNext/>
      <w:spacing w:before="240" w:after="64" w:line="320" w:lineRule="atLeast"/>
      <w:outlineLvl w:val="8"/>
    </w:pPr>
    <w:rPr>
      <w:rFonts w:ascii="Arial" w:hAnsi="Arial" w:eastAsia="黑体"/>
      <w:szCs w:val="20"/>
    </w:rPr>
  </w:style>
  <w:style w:type="character" w:styleId="1132">
    <w:name w:val="默认段落字体"/>
    <w:next w:val="1132"/>
    <w:link w:val="1122"/>
    <w:uiPriority w:val="1"/>
    <w:unhideWhenUsed/>
    <w:qFormat/>
  </w:style>
  <w:style w:type="table" w:styleId="1133">
    <w:name w:val="普通表格"/>
    <w:next w:val="1133"/>
    <w:link w:val="1122"/>
    <w:uiPriority w:val="99"/>
    <w:unhideWhenUsed/>
    <w:qFormat/>
    <w:tblPr/>
  </w:style>
  <w:style w:type="character" w:styleId="1134">
    <w:name w:val="标题 1 Char"/>
    <w:next w:val="1134"/>
    <w:link w:val="1123"/>
    <w:qFormat/>
    <w:rPr>
      <w:rFonts w:ascii="宋体"/>
      <w:b/>
      <w:sz w:val="32"/>
    </w:rPr>
  </w:style>
  <w:style w:type="character" w:styleId="1135">
    <w:name w:val="标题 2 Char2"/>
    <w:next w:val="1135"/>
    <w:link w:val="1124"/>
    <w:qFormat/>
    <w:rPr>
      <w:rFonts w:ascii="Arial" w:hAnsi="Arial" w:eastAsia="黑体"/>
      <w:b/>
      <w:sz w:val="30"/>
      <w:lang w:val="en-US" w:eastAsia="zh-CN" w:bidi="ar-SA"/>
    </w:rPr>
  </w:style>
  <w:style w:type="paragraph" w:styleId="1136">
    <w:name w:val="正文缩进"/>
    <w:basedOn w:val="1122"/>
    <w:next w:val="1122"/>
    <w:link w:val="1137"/>
    <w:qFormat/>
    <w:pPr>
      <w:ind w:firstLine="420"/>
      <w:jc w:val="left"/>
    </w:pPr>
    <w:rPr>
      <w:rFonts w:ascii="宋体"/>
      <w:sz w:val="24"/>
    </w:rPr>
  </w:style>
  <w:style w:type="character" w:styleId="1137">
    <w:name w:val="正文缩进 Char1"/>
    <w:next w:val="1137"/>
    <w:link w:val="1136"/>
    <w:qFormat/>
    <w:rPr>
      <w:rFonts w:ascii="宋体" w:eastAsia="宋体"/>
      <w:sz w:val="24"/>
      <w:szCs w:val="24"/>
      <w:lang w:val="en-US" w:eastAsia="zh-CN" w:bidi="ar-SA"/>
    </w:rPr>
  </w:style>
  <w:style w:type="character" w:styleId="1138">
    <w:name w:val="标题 3 Char1"/>
    <w:next w:val="1138"/>
    <w:link w:val="1125"/>
    <w:qFormat/>
    <w:rPr>
      <w:rFonts w:ascii="宋体" w:eastAsia="宋体"/>
      <w:b/>
      <w:sz w:val="24"/>
      <w:u w:val="single"/>
      <w:lang w:val="en-US" w:eastAsia="zh-CN" w:bidi="ar-SA"/>
    </w:rPr>
  </w:style>
  <w:style w:type="character" w:styleId="1139">
    <w:name w:val="标题 4 Char"/>
    <w:next w:val="1139"/>
    <w:link w:val="1126"/>
    <w:qFormat/>
    <w:rPr>
      <w:rFonts w:ascii="Arial" w:hAnsi="Arial" w:eastAsia="黑体"/>
      <w:b/>
      <w:sz w:val="28"/>
    </w:rPr>
  </w:style>
  <w:style w:type="character" w:styleId="1140">
    <w:name w:val="标题 5 Char"/>
    <w:next w:val="1140"/>
    <w:link w:val="1127"/>
    <w:qFormat/>
    <w:rPr>
      <w:b/>
      <w:sz w:val="28"/>
    </w:rPr>
  </w:style>
  <w:style w:type="character" w:styleId="1141">
    <w:name w:val="标题 6 Char"/>
    <w:next w:val="1141"/>
    <w:link w:val="1128"/>
    <w:qFormat/>
    <w:rPr>
      <w:rFonts w:ascii="Arial" w:hAnsi="Arial" w:eastAsia="黑体"/>
      <w:b/>
      <w:sz w:val="24"/>
    </w:rPr>
  </w:style>
  <w:style w:type="character" w:styleId="1142">
    <w:name w:val="标题 7 Char"/>
    <w:next w:val="1142"/>
    <w:link w:val="1129"/>
    <w:qFormat/>
    <w:rPr>
      <w:b/>
      <w:sz w:val="24"/>
    </w:rPr>
  </w:style>
  <w:style w:type="character" w:styleId="1143">
    <w:name w:val="标题 8 Char"/>
    <w:next w:val="1143"/>
    <w:link w:val="1130"/>
    <w:qFormat/>
    <w:rPr>
      <w:rFonts w:ascii="Arial" w:hAnsi="Arial" w:eastAsia="黑体"/>
      <w:sz w:val="24"/>
    </w:rPr>
  </w:style>
  <w:style w:type="character" w:styleId="1144">
    <w:name w:val="标题 9 Char"/>
    <w:next w:val="1144"/>
    <w:link w:val="1131"/>
    <w:qFormat/>
    <w:rPr>
      <w:rFonts w:ascii="Arial" w:hAnsi="Arial" w:eastAsia="黑体"/>
      <w:sz w:val="21"/>
    </w:rPr>
  </w:style>
  <w:style w:type="paragraph" w:styleId="1145">
    <w:name w:val="目录 7"/>
    <w:basedOn w:val="1122"/>
    <w:next w:val="1122"/>
    <w:link w:val="1122"/>
    <w:qFormat/>
    <w:pPr>
      <w:ind w:left="2520"/>
    </w:pPr>
  </w:style>
  <w:style w:type="paragraph" w:styleId="1146">
    <w:name w:val="引文目录"/>
    <w:basedOn w:val="1122"/>
    <w:next w:val="1122"/>
    <w:link w:val="1122"/>
    <w:uiPriority w:val="99"/>
    <w:unhideWhenUsed/>
    <w:qFormat/>
    <w:pPr>
      <w:ind w:left="420"/>
    </w:pPr>
    <w:rPr>
      <w:szCs w:val="20"/>
    </w:rPr>
  </w:style>
  <w:style w:type="paragraph" w:styleId="1147">
    <w:name w:val="题注"/>
    <w:basedOn w:val="1122"/>
    <w:next w:val="1122"/>
    <w:link w:val="1122"/>
    <w:qFormat/>
    <w:pPr>
      <w:spacing w:line="480" w:lineRule="auto"/>
    </w:pPr>
    <w:rPr>
      <w:rFonts w:ascii="华文中宋" w:hAnsi="华文中宋" w:eastAsia="华文中宋"/>
      <w:sz w:val="36"/>
      <w:szCs w:val="20"/>
    </w:rPr>
  </w:style>
  <w:style w:type="paragraph" w:styleId="1148">
    <w:name w:val="文档结构图"/>
    <w:basedOn w:val="1122"/>
    <w:next w:val="1148"/>
    <w:link w:val="1149"/>
    <w:qFormat/>
    <w:pPr>
      <w:shd w:val="clear" w:color="auto" w:fill="000080"/>
    </w:pPr>
  </w:style>
  <w:style w:type="character" w:styleId="1149">
    <w:name w:val="文档结构图 Char"/>
    <w:next w:val="1149"/>
    <w:link w:val="1148"/>
    <w:qFormat/>
    <w:rPr>
      <w:sz w:val="21"/>
      <w:szCs w:val="24"/>
      <w:shd w:val="clear" w:color="auto" w:fill="000080"/>
    </w:rPr>
  </w:style>
  <w:style w:type="paragraph" w:styleId="1150">
    <w:name w:val="批注文字"/>
    <w:basedOn w:val="1122"/>
    <w:next w:val="1150"/>
    <w:link w:val="1151"/>
    <w:uiPriority w:val="99"/>
    <w:qFormat/>
    <w:pPr>
      <w:jc w:val="left"/>
    </w:pPr>
  </w:style>
  <w:style w:type="character" w:styleId="1151">
    <w:name w:val="批注文字 Char1"/>
    <w:next w:val="1151"/>
    <w:link w:val="1150"/>
    <w:uiPriority w:val="99"/>
    <w:qFormat/>
    <w:rPr>
      <w:sz w:val="21"/>
      <w:szCs w:val="24"/>
    </w:rPr>
  </w:style>
  <w:style w:type="paragraph" w:styleId="1152">
    <w:name w:val="正文文本 3"/>
    <w:basedOn w:val="1122"/>
    <w:next w:val="1152"/>
    <w:link w:val="1153"/>
    <w:qFormat/>
    <w:pPr>
      <w:spacing w:after="120"/>
    </w:pPr>
    <w:rPr>
      <w:sz w:val="16"/>
      <w:szCs w:val="16"/>
    </w:rPr>
  </w:style>
  <w:style w:type="character" w:styleId="1153">
    <w:name w:val="正文文本 3 Char"/>
    <w:next w:val="1153"/>
    <w:link w:val="1152"/>
    <w:qFormat/>
    <w:rPr>
      <w:sz w:val="16"/>
      <w:szCs w:val="16"/>
    </w:rPr>
  </w:style>
  <w:style w:type="paragraph" w:styleId="1154">
    <w:name w:val="正文文本"/>
    <w:basedOn w:val="1122"/>
    <w:next w:val="1122"/>
    <w:link w:val="1155"/>
    <w:qFormat/>
    <w:pPr>
      <w:spacing w:before="120" w:line="22" w:lineRule="atLeast"/>
      <w:tabs>
        <w:tab w:val="left" w:pos="567" w:leader="none"/>
      </w:tabs>
    </w:pPr>
    <w:rPr>
      <w:rFonts w:ascii="宋体" w:hAnsi="宋体"/>
      <w:sz w:val="24"/>
    </w:rPr>
  </w:style>
  <w:style w:type="character" w:styleId="1155">
    <w:name w:val="正文文本 Char"/>
    <w:next w:val="1155"/>
    <w:link w:val="1154"/>
    <w:qFormat/>
    <w:rPr>
      <w:rFonts w:ascii="宋体" w:hAnsi="宋体"/>
      <w:sz w:val="24"/>
      <w:szCs w:val="24"/>
    </w:rPr>
  </w:style>
  <w:style w:type="paragraph" w:styleId="1156">
    <w:name w:val="正文文本缩进"/>
    <w:basedOn w:val="1122"/>
    <w:next w:val="1122"/>
    <w:link w:val="1157"/>
    <w:qFormat/>
    <w:pPr>
      <w:ind w:firstLine="570"/>
      <w:spacing w:line="360" w:lineRule="auto"/>
    </w:pPr>
    <w:rPr>
      <w:sz w:val="24"/>
    </w:rPr>
  </w:style>
  <w:style w:type="character" w:styleId="1157">
    <w:name w:val="正文文本缩进 Char2"/>
    <w:next w:val="1157"/>
    <w:link w:val="1156"/>
    <w:qFormat/>
    <w:rPr>
      <w:rFonts w:eastAsia="宋体"/>
      <w:sz w:val="24"/>
      <w:szCs w:val="24"/>
      <w:lang w:val="en-US" w:eastAsia="zh-CN" w:bidi="ar-SA"/>
    </w:rPr>
  </w:style>
  <w:style w:type="paragraph" w:styleId="1158">
    <w:name w:val="列表 2"/>
    <w:basedOn w:val="1122"/>
    <w:next w:val="1158"/>
    <w:link w:val="1122"/>
    <w:qFormat/>
    <w:pPr>
      <w:ind w:left="100" w:hanging="200"/>
    </w:pPr>
  </w:style>
  <w:style w:type="paragraph" w:styleId="1159">
    <w:name w:val="文本块"/>
    <w:basedOn w:val="1122"/>
    <w:next w:val="1159"/>
    <w:link w:val="1122"/>
    <w:qFormat/>
    <w:pPr>
      <w:ind w:left="480" w:right="-341" w:firstLine="513"/>
      <w:widowControl/>
    </w:pPr>
    <w:rPr>
      <w:sz w:val="24"/>
      <w:szCs w:val="20"/>
    </w:rPr>
  </w:style>
  <w:style w:type="paragraph" w:styleId="1160">
    <w:name w:val="目录 5"/>
    <w:basedOn w:val="1122"/>
    <w:next w:val="1122"/>
    <w:link w:val="1122"/>
    <w:qFormat/>
    <w:pPr>
      <w:ind w:left="1680"/>
    </w:pPr>
  </w:style>
  <w:style w:type="paragraph" w:styleId="1161">
    <w:name w:val="目录 3"/>
    <w:basedOn w:val="1122"/>
    <w:next w:val="1122"/>
    <w:link w:val="1122"/>
    <w:uiPriority w:val="39"/>
    <w:qFormat/>
    <w:pPr>
      <w:ind w:left="840"/>
    </w:pPr>
  </w:style>
  <w:style w:type="paragraph" w:styleId="1162">
    <w:name w:val="纯文本"/>
    <w:basedOn w:val="1122"/>
    <w:next w:val="1162"/>
    <w:link w:val="1163"/>
    <w:qFormat/>
    <w:rPr>
      <w:rFonts w:hint="eastAsia" w:ascii="宋体" w:hAnsi="Courier New"/>
      <w:szCs w:val="20"/>
    </w:rPr>
  </w:style>
  <w:style w:type="character" w:styleId="1163">
    <w:name w:val="纯文本 Char"/>
    <w:next w:val="1163"/>
    <w:link w:val="1162"/>
    <w:qFormat/>
    <w:rPr>
      <w:rFonts w:hint="eastAsia" w:ascii="宋体" w:hAnsi="Courier New" w:eastAsia="宋体" w:cs="宋体"/>
      <w:sz w:val="21"/>
    </w:rPr>
  </w:style>
  <w:style w:type="paragraph" w:styleId="1164">
    <w:name w:val="目录 8"/>
    <w:basedOn w:val="1122"/>
    <w:next w:val="1122"/>
    <w:link w:val="1122"/>
    <w:qFormat/>
    <w:pPr>
      <w:ind w:left="2940"/>
    </w:pPr>
  </w:style>
  <w:style w:type="paragraph" w:styleId="1165">
    <w:name w:val="日期"/>
    <w:basedOn w:val="1122"/>
    <w:next w:val="1122"/>
    <w:link w:val="1166"/>
    <w:qFormat/>
    <w:pPr>
      <w:ind w:left="100"/>
    </w:pPr>
    <w:rPr>
      <w:rFonts w:ascii="仿宋_GB2312" w:hAnsi="宋体" w:eastAsia="仿宋_GB2312"/>
      <w:color w:val="000000"/>
      <w:sz w:val="24"/>
    </w:rPr>
  </w:style>
  <w:style w:type="character" w:styleId="1166">
    <w:name w:val="日期 Char"/>
    <w:next w:val="1166"/>
    <w:link w:val="1165"/>
    <w:qFormat/>
    <w:rPr>
      <w:rFonts w:ascii="仿宋_GB2312" w:hAnsi="宋体" w:eastAsia="仿宋_GB2312"/>
      <w:color w:val="000000"/>
      <w:sz w:val="24"/>
      <w:szCs w:val="24"/>
    </w:rPr>
  </w:style>
  <w:style w:type="paragraph" w:styleId="1167">
    <w:name w:val="正文文本缩进 2"/>
    <w:basedOn w:val="1122"/>
    <w:next w:val="1167"/>
    <w:link w:val="1168"/>
    <w:qFormat/>
    <w:pPr>
      <w:ind w:firstLine="480"/>
    </w:pPr>
    <w:rPr>
      <w:rFonts w:ascii="仿宋_GB2312" w:eastAsia="仿宋_GB2312"/>
      <w:sz w:val="24"/>
    </w:rPr>
  </w:style>
  <w:style w:type="character" w:styleId="1168">
    <w:name w:val="正文文本缩进 2 Char"/>
    <w:next w:val="1168"/>
    <w:link w:val="1167"/>
    <w:qFormat/>
    <w:rPr>
      <w:rFonts w:ascii="仿宋_GB2312" w:eastAsia="仿宋_GB2312"/>
      <w:sz w:val="24"/>
      <w:szCs w:val="24"/>
    </w:rPr>
  </w:style>
  <w:style w:type="paragraph" w:styleId="1169">
    <w:name w:val="批注框文本"/>
    <w:basedOn w:val="1122"/>
    <w:next w:val="1169"/>
    <w:link w:val="1170"/>
    <w:qFormat/>
    <w:rPr>
      <w:sz w:val="18"/>
      <w:szCs w:val="18"/>
    </w:rPr>
  </w:style>
  <w:style w:type="character" w:styleId="1170">
    <w:name w:val="批注框文本 Char"/>
    <w:next w:val="1170"/>
    <w:link w:val="1169"/>
    <w:qFormat/>
    <w:rPr>
      <w:sz w:val="18"/>
      <w:szCs w:val="18"/>
    </w:rPr>
  </w:style>
  <w:style w:type="paragraph" w:styleId="1171">
    <w:name w:val="页脚"/>
    <w:basedOn w:val="1122"/>
    <w:next w:val="1171"/>
    <w:link w:val="1172"/>
    <w:uiPriority w:val="99"/>
    <w:qFormat/>
    <w:pPr>
      <w:jc w:val="left"/>
      <w:tabs>
        <w:tab w:val="center" w:pos="4153" w:leader="none"/>
        <w:tab w:val="right" w:pos="8306" w:leader="none"/>
      </w:tabs>
    </w:pPr>
    <w:rPr>
      <w:rFonts w:ascii="宋体"/>
      <w:sz w:val="18"/>
      <w:szCs w:val="20"/>
    </w:rPr>
  </w:style>
  <w:style w:type="character" w:styleId="1172">
    <w:name w:val="页脚 Char1"/>
    <w:next w:val="1172"/>
    <w:link w:val="1171"/>
    <w:uiPriority w:val="99"/>
    <w:qFormat/>
    <w:rPr>
      <w:rFonts w:ascii="宋体" w:eastAsia="宋体"/>
      <w:sz w:val="18"/>
      <w:lang w:val="en-US" w:eastAsia="zh-CN" w:bidi="ar-SA"/>
    </w:rPr>
  </w:style>
  <w:style w:type="paragraph" w:styleId="1173">
    <w:name w:val="寄信人地址"/>
    <w:basedOn w:val="1122"/>
    <w:next w:val="1173"/>
    <w:link w:val="1122"/>
    <w:qFormat/>
    <w:pPr>
      <w:jc w:val="both"/>
      <w:widowControl w:val="off"/>
    </w:pPr>
    <w:rPr>
      <w:rFonts w:ascii="Arial" w:hAnsi="Arial" w:eastAsia="宋体" w:cs="Times New Roman"/>
      <w:sz w:val="21"/>
      <w:szCs w:val="24"/>
      <w:lang w:val="en-US" w:eastAsia="zh-CN" w:bidi="ar-SA"/>
    </w:rPr>
  </w:style>
  <w:style w:type="paragraph" w:styleId="1174">
    <w:name w:val="页眉"/>
    <w:basedOn w:val="1122"/>
    <w:next w:val="1174"/>
    <w:link w:val="1175"/>
    <w:qFormat/>
    <w:pPr>
      <w:jc w:val="center"/>
      <w:tabs>
        <w:tab w:val="center" w:pos="4153" w:leader="none"/>
        <w:tab w:val="right" w:pos="8306" w:leader="none"/>
      </w:tabs>
      <w:pBdr>
        <w:bottom w:val="none" w:color="000000" w:sz="0" w:space="1"/>
      </w:pBdr>
    </w:pPr>
    <w:rPr>
      <w:sz w:val="18"/>
      <w:szCs w:val="18"/>
    </w:rPr>
  </w:style>
  <w:style w:type="character" w:styleId="1175">
    <w:name w:val="页眉 Char1"/>
    <w:next w:val="1175"/>
    <w:link w:val="1174"/>
    <w:qFormat/>
    <w:rPr>
      <w:rFonts w:eastAsia="宋体"/>
      <w:sz w:val="18"/>
      <w:szCs w:val="18"/>
      <w:lang w:val="en-US" w:eastAsia="zh-CN" w:bidi="ar-SA"/>
    </w:rPr>
  </w:style>
  <w:style w:type="paragraph" w:styleId="1176">
    <w:name w:val="目录 1"/>
    <w:basedOn w:val="1122"/>
    <w:next w:val="1122"/>
    <w:link w:val="1122"/>
    <w:uiPriority w:val="39"/>
    <w:qFormat/>
    <w:pPr>
      <w:spacing w:line="300" w:lineRule="auto"/>
      <w:tabs>
        <w:tab w:val="left" w:pos="1050" w:leader="none"/>
        <w:tab w:val="right" w:pos="8937" w:leader="dot"/>
      </w:tabs>
    </w:pPr>
    <w:rPr>
      <w:rFonts w:ascii="宋体" w:hAnsi="宋体"/>
      <w:b/>
      <w:sz w:val="24"/>
    </w:rPr>
  </w:style>
  <w:style w:type="paragraph" w:styleId="1177">
    <w:name w:val="目录 4"/>
    <w:basedOn w:val="1122"/>
    <w:next w:val="1122"/>
    <w:link w:val="1122"/>
    <w:qFormat/>
    <w:pPr>
      <w:ind w:left="1260"/>
    </w:pPr>
  </w:style>
  <w:style w:type="paragraph" w:styleId="1178">
    <w:name w:val="目录 6"/>
    <w:basedOn w:val="1122"/>
    <w:next w:val="1122"/>
    <w:link w:val="1122"/>
    <w:qFormat/>
    <w:pPr>
      <w:ind w:left="2100"/>
    </w:pPr>
  </w:style>
  <w:style w:type="paragraph" w:styleId="1179">
    <w:name w:val="正文文本缩进 3"/>
    <w:basedOn w:val="1122"/>
    <w:next w:val="1179"/>
    <w:link w:val="1180"/>
    <w:qFormat/>
    <w:pPr>
      <w:ind w:left="720" w:firstLine="480"/>
      <w:jc w:val="left"/>
      <w:spacing w:before="120" w:line="22" w:lineRule="atLeast"/>
    </w:pPr>
    <w:rPr>
      <w:rFonts w:ascii="宋体"/>
      <w:sz w:val="24"/>
      <w:szCs w:val="20"/>
    </w:rPr>
  </w:style>
  <w:style w:type="character" w:styleId="1180">
    <w:name w:val="正文文本缩进 3 Char"/>
    <w:next w:val="1180"/>
    <w:link w:val="1179"/>
    <w:qFormat/>
    <w:rPr>
      <w:rFonts w:ascii="宋体"/>
      <w:sz w:val="24"/>
    </w:rPr>
  </w:style>
  <w:style w:type="paragraph" w:styleId="1181">
    <w:name w:val="目录 2"/>
    <w:basedOn w:val="1122"/>
    <w:next w:val="1122"/>
    <w:link w:val="1122"/>
    <w:uiPriority w:val="39"/>
    <w:qFormat/>
    <w:pPr>
      <w:ind w:left="420"/>
      <w:spacing w:line="312" w:lineRule="auto"/>
      <w:tabs>
        <w:tab w:val="right" w:pos="8937" w:leader="dot"/>
      </w:tabs>
    </w:pPr>
  </w:style>
  <w:style w:type="paragraph" w:styleId="1182">
    <w:name w:val="目录 9"/>
    <w:basedOn w:val="1122"/>
    <w:next w:val="1122"/>
    <w:link w:val="1122"/>
    <w:qFormat/>
    <w:pPr>
      <w:ind w:left="3360"/>
    </w:pPr>
  </w:style>
  <w:style w:type="paragraph" w:styleId="1183">
    <w:name w:val="HTML 预设格式"/>
    <w:basedOn w:val="1122"/>
    <w:next w:val="1183"/>
    <w:link w:val="11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4">
    <w:name w:val="HTML 预设格式 Char"/>
    <w:next w:val="1184"/>
    <w:link w:val="1183"/>
    <w:qFormat/>
    <w:rPr>
      <w:rFonts w:ascii="宋体" w:hAnsi="宋体" w:cs="宋体"/>
      <w:sz w:val="24"/>
      <w:szCs w:val="24"/>
    </w:rPr>
  </w:style>
  <w:style w:type="paragraph" w:styleId="1185">
    <w:name w:val="普通(网站)"/>
    <w:basedOn w:val="1122"/>
    <w:next w:val="1185"/>
    <w:link w:val="1122"/>
    <w:unhideWhenUsed/>
    <w:qFormat/>
    <w:pPr>
      <w:jc w:val="left"/>
      <w:spacing w:before="100" w:beforeAutospacing="1" w:after="100" w:afterAutospacing="1"/>
      <w:widowControl/>
    </w:pPr>
    <w:rPr>
      <w:rFonts w:ascii="宋体" w:hAnsi="宋体" w:cs="宋体"/>
      <w:sz w:val="24"/>
    </w:rPr>
  </w:style>
  <w:style w:type="paragraph" w:styleId="1186">
    <w:name w:val="索引 1"/>
    <w:basedOn w:val="1122"/>
    <w:next w:val="1122"/>
    <w:link w:val="1122"/>
    <w:qFormat/>
    <w:rPr>
      <w:szCs w:val="20"/>
    </w:rPr>
  </w:style>
  <w:style w:type="paragraph" w:styleId="1187">
    <w:name w:val="标题"/>
    <w:basedOn w:val="1122"/>
    <w:next w:val="1187"/>
    <w:link w:val="1188"/>
    <w:qFormat/>
    <w:pPr>
      <w:jc w:val="center"/>
      <w:outlineLvl w:val="0"/>
    </w:pPr>
    <w:rPr>
      <w:b/>
      <w:sz w:val="32"/>
      <w:szCs w:val="20"/>
    </w:rPr>
  </w:style>
  <w:style w:type="character" w:styleId="1188">
    <w:name w:val="标题 Char1"/>
    <w:next w:val="1188"/>
    <w:link w:val="1187"/>
    <w:qFormat/>
    <w:rPr>
      <w:b/>
      <w:sz w:val="32"/>
    </w:rPr>
  </w:style>
  <w:style w:type="paragraph" w:styleId="1189">
    <w:name w:val="批注主题"/>
    <w:basedOn w:val="1150"/>
    <w:next w:val="1150"/>
    <w:link w:val="1190"/>
    <w:qFormat/>
    <w:rPr>
      <w:b/>
      <w:bCs/>
    </w:rPr>
  </w:style>
  <w:style w:type="character" w:styleId="1190">
    <w:name w:val="批注主题 Char"/>
    <w:next w:val="1190"/>
    <w:link w:val="1189"/>
    <w:qFormat/>
    <w:rPr>
      <w:rFonts w:ascii="Times New Roman" w:hAnsi="Times New Roman" w:eastAsia="宋体" w:cs="Times New Roman"/>
      <w:b/>
      <w:bCs/>
      <w:sz w:val="21"/>
      <w:szCs w:val="24"/>
      <w:lang w:val="en-US" w:eastAsia="zh-CN" w:bidi="ar-SA"/>
    </w:rPr>
  </w:style>
  <w:style w:type="paragraph" w:styleId="1191">
    <w:name w:val="正文首行缩进"/>
    <w:basedOn w:val="1154"/>
    <w:next w:val="1191"/>
    <w:link w:val="1122"/>
    <w:uiPriority w:val="99"/>
    <w:qFormat/>
    <w:pPr>
      <w:ind w:firstLine="420"/>
      <w:spacing w:before="120" w:after="0" w:line="22" w:lineRule="atLeast"/>
      <w:tabs>
        <w:tab w:val="left" w:pos="567" w:leader="none"/>
      </w:tabs>
    </w:pPr>
    <w:rPr>
      <w:rFonts w:ascii="宋体" w:hAnsi="宋体" w:eastAsia="宋体"/>
      <w:sz w:val="24"/>
      <w:szCs w:val="24"/>
    </w:rPr>
  </w:style>
  <w:style w:type="paragraph" w:styleId="1192">
    <w:name w:val="正文首行缩进 2"/>
    <w:basedOn w:val="1156"/>
    <w:next w:val="1122"/>
    <w:link w:val="1193"/>
    <w:uiPriority w:val="99"/>
    <w:qFormat/>
    <w:pPr>
      <w:ind w:left="420" w:firstLine="420"/>
      <w:spacing w:after="120" w:line="480" w:lineRule="exact"/>
    </w:pPr>
  </w:style>
  <w:style w:type="character" w:styleId="1193">
    <w:name w:val="正文首行缩进 2 Char"/>
    <w:next w:val="1193"/>
    <w:link w:val="1192"/>
    <w:uiPriority w:val="99"/>
    <w:qFormat/>
    <w:rPr>
      <w:rFonts w:eastAsia="宋体"/>
      <w:sz w:val="24"/>
      <w:szCs w:val="24"/>
      <w:lang w:val="en-US" w:eastAsia="zh-CN" w:bidi="ar-SA"/>
    </w:rPr>
  </w:style>
  <w:style w:type="table" w:styleId="1194">
    <w:name w:val="网格型"/>
    <w:basedOn w:val="1133"/>
    <w:next w:val="1194"/>
    <w:link w:val="1122"/>
    <w:uiPriority w:val="39"/>
    <w:qFormat/>
    <w:tblPr/>
  </w:style>
  <w:style w:type="table" w:styleId="1195">
    <w:name w:val="中等深浅网格 1 - 强调文字颜色 2"/>
    <w:basedOn w:val="1133"/>
    <w:next w:val="1195"/>
    <w:link w:val="1122"/>
    <w:qFormat/>
    <w:rPr>
      <w:sz w:val="21"/>
      <w:szCs w:val="24"/>
    </w:rPr>
    <w:tblPr/>
  </w:style>
  <w:style w:type="character" w:styleId="1196">
    <w:name w:val="要点"/>
    <w:next w:val="1196"/>
    <w:link w:val="1122"/>
    <w:qFormat/>
    <w:rPr>
      <w:b/>
      <w:bCs/>
    </w:rPr>
  </w:style>
  <w:style w:type="character" w:styleId="1197">
    <w:name w:val="页码"/>
    <w:next w:val="1197"/>
    <w:link w:val="1122"/>
    <w:qFormat/>
  </w:style>
  <w:style w:type="character" w:styleId="1198">
    <w:name w:val="已访问的超链接"/>
    <w:basedOn w:val="1132"/>
    <w:next w:val="1198"/>
    <w:link w:val="1122"/>
    <w:qFormat/>
    <w:rPr>
      <w:color w:val="333333"/>
      <w:u w:val="none"/>
    </w:rPr>
  </w:style>
  <w:style w:type="character" w:styleId="1199">
    <w:name w:val="强调"/>
    <w:next w:val="1199"/>
    <w:link w:val="1122"/>
    <w:qFormat/>
    <w:rPr>
      <w:color w:val="cc0033"/>
    </w:rPr>
  </w:style>
  <w:style w:type="character" w:styleId="1200">
    <w:name w:val="超链接"/>
    <w:basedOn w:val="1132"/>
    <w:next w:val="1200"/>
    <w:link w:val="1122"/>
    <w:uiPriority w:val="99"/>
    <w:qFormat/>
    <w:rPr>
      <w:color w:val="333333"/>
      <w:u w:val="none"/>
    </w:rPr>
  </w:style>
  <w:style w:type="character" w:styleId="1201">
    <w:name w:val="批注引用"/>
    <w:next w:val="1201"/>
    <w:link w:val="1122"/>
    <w:uiPriority w:val="99"/>
    <w:qFormat/>
    <w:rPr>
      <w:sz w:val="21"/>
      <w:szCs w:val="21"/>
    </w:rPr>
  </w:style>
  <w:style w:type="character" w:styleId="1202">
    <w:name w:val="HTML 引文"/>
    <w:next w:val="1202"/>
    <w:link w:val="1122"/>
    <w:qFormat/>
    <w:rPr>
      <w:i/>
      <w:iCs/>
    </w:rPr>
  </w:style>
  <w:style w:type="paragraph" w:styleId="1203">
    <w:name w:val="正文首行缩进 21"/>
    <w:basedOn w:val="1204"/>
    <w:next w:val="1122"/>
    <w:link w:val="1122"/>
    <w:qFormat/>
    <w:pPr>
      <w:ind w:left="420" w:firstLine="420"/>
      <w:jc w:val="both"/>
      <w:spacing w:after="120" w:line="480" w:lineRule="exact"/>
      <w:widowControl w:val="off"/>
    </w:pPr>
    <w:rPr>
      <w:rFonts w:ascii="Times New Roman" w:hAnsi="Times New Roman" w:eastAsia="宋体" w:cs="Times New Roman"/>
      <w:sz w:val="24"/>
      <w:szCs w:val="20"/>
      <w:lang w:val="en-US" w:eastAsia="zh-CN" w:bidi="ar-SA"/>
    </w:rPr>
  </w:style>
  <w:style w:type="paragraph" w:styleId="1204">
    <w:name w:val="正文文本缩进11"/>
    <w:next w:val="1122"/>
    <w:link w:val="1122"/>
    <w:qFormat/>
    <w:pPr>
      <w:ind w:firstLine="570"/>
      <w:jc w:val="both"/>
      <w:spacing w:line="360" w:lineRule="auto"/>
      <w:widowControl w:val="off"/>
    </w:pPr>
    <w:rPr>
      <w:rFonts w:ascii="Times New Roman" w:hAnsi="Times New Roman" w:eastAsia="宋体" w:cs="Times New Roman"/>
      <w:sz w:val="24"/>
      <w:szCs w:val="24"/>
      <w:lang w:val="en-US" w:eastAsia="zh-CN" w:bidi="ar-SA"/>
    </w:rPr>
  </w:style>
  <w:style w:type="paragraph" w:styleId="1205">
    <w:name w:val="表格文字"/>
    <w:basedOn w:val="1156"/>
    <w:next w:val="1154"/>
    <w:link w:val="1122"/>
    <w:qFormat/>
    <w:pPr>
      <w:ind w:firstLine="0"/>
      <w:spacing w:before="20" w:after="20" w:line="240" w:lineRule="auto"/>
    </w:pPr>
    <w:rPr>
      <w:rFonts w:ascii="Century Gothic" w:hAnsi="Century Gothic"/>
      <w:sz w:val="20"/>
      <w:szCs w:val="20"/>
    </w:rPr>
  </w:style>
  <w:style w:type="paragraph" w:styleId="1206">
    <w:name w:val="段"/>
    <w:next w:val="1122"/>
    <w:link w:val="1122"/>
    <w:qFormat/>
    <w:pPr>
      <w:ind w:firstLine="200"/>
      <w:jc w:val="both"/>
    </w:pPr>
    <w:rPr>
      <w:rFonts w:ascii="宋体"/>
      <w:sz w:val="21"/>
      <w:lang w:val="en-US" w:eastAsia="zh-CN" w:bidi="ar-SA"/>
    </w:rPr>
  </w:style>
  <w:style w:type="character" w:styleId="1207">
    <w:name w:val="批注文字 字符"/>
    <w:next w:val="1207"/>
    <w:link w:val="1122"/>
    <w:uiPriority w:val="99"/>
    <w:qFormat/>
    <w:rPr>
      <w:rFonts w:ascii="Times New Roman" w:hAnsi="Times New Roman" w:eastAsia="宋体" w:cs="Times New Roman"/>
      <w:sz w:val="24"/>
      <w:lang w:val="en-US" w:eastAsia="zh-CN" w:bidi="ar-SA"/>
    </w:rPr>
  </w:style>
  <w:style w:type="character" w:styleId="1208">
    <w:name w:val="c21"/>
    <w:next w:val="1208"/>
    <w:link w:val="1122"/>
    <w:qFormat/>
    <w:rPr>
      <w:rFonts w:ascii="ˎ̥" w:hAnsi="ˎ̥"/>
      <w:color w:val="000000"/>
      <w:sz w:val="20"/>
      <w:szCs w:val="20"/>
      <w:u w:val="none"/>
    </w:rPr>
  </w:style>
  <w:style w:type="character" w:styleId="1209">
    <w:name w:val="title4"/>
    <w:next w:val="1209"/>
    <w:link w:val="1122"/>
    <w:qFormat/>
    <w:rPr>
      <w:b/>
      <w:bCs/>
      <w:color w:val="1d87b3"/>
      <w:sz w:val="15"/>
      <w:szCs w:val="15"/>
    </w:rPr>
  </w:style>
  <w:style w:type="character" w:styleId="1210">
    <w:name w:val="标题 2 Char Char"/>
    <w:next w:val="1210"/>
    <w:link w:val="1122"/>
    <w:qFormat/>
    <w:rPr>
      <w:rFonts w:ascii="Arial" w:hAnsi="Arial" w:eastAsia="黑体"/>
      <w:b/>
      <w:bCs/>
      <w:sz w:val="32"/>
      <w:szCs w:val="32"/>
      <w:lang w:val="en-US" w:eastAsia="zh-CN" w:bidi="ar-SA"/>
    </w:rPr>
  </w:style>
  <w:style w:type="character" w:styleId="1211">
    <w:name w:val="black1"/>
    <w:next w:val="1211"/>
    <w:link w:val="1122"/>
    <w:qFormat/>
    <w:rPr>
      <w:color w:val="000000"/>
    </w:rPr>
  </w:style>
  <w:style w:type="character" w:styleId="1212">
    <w:name w:val="street-address"/>
    <w:next w:val="1212"/>
    <w:link w:val="1122"/>
    <w:qFormat/>
  </w:style>
  <w:style w:type="character" w:styleId="1213">
    <w:name w:val="locality"/>
    <w:next w:val="1213"/>
    <w:link w:val="1122"/>
    <w:qFormat/>
  </w:style>
  <w:style w:type="character" w:styleId="1214">
    <w:name w:val="正文文本缩进 Char1"/>
    <w:next w:val="1214"/>
    <w:link w:val="1215"/>
    <w:qFormat/>
    <w:rPr>
      <w:rFonts w:ascii="宋体" w:hAnsi="宋体" w:eastAsia="宋体"/>
      <w:sz w:val="24"/>
      <w:szCs w:val="24"/>
      <w:lang w:bidi="ar-SA"/>
    </w:rPr>
  </w:style>
  <w:style w:type="paragraph" w:styleId="1215">
    <w:name w:val="正文文本缩进1"/>
    <w:basedOn w:val="1122"/>
    <w:next w:val="1215"/>
    <w:link w:val="1214"/>
    <w:qFormat/>
    <w:pPr>
      <w:ind w:firstLine="480"/>
      <w:spacing w:line="480" w:lineRule="exact"/>
    </w:pPr>
    <w:rPr>
      <w:rFonts w:ascii="宋体" w:hAnsi="宋体"/>
      <w:sz w:val="24"/>
    </w:rPr>
  </w:style>
  <w:style w:type="character" w:styleId="1216">
    <w:name w:val="Char Char11"/>
    <w:next w:val="1216"/>
    <w:link w:val="1122"/>
    <w:qFormat/>
    <w:rPr>
      <w:rFonts w:ascii="宋体" w:eastAsia="宋体"/>
      <w:b/>
      <w:sz w:val="24"/>
      <w:u w:val="single"/>
      <w:lang w:val="en-US" w:eastAsia="zh-CN" w:bidi="ar-SA"/>
    </w:rPr>
  </w:style>
  <w:style w:type="character" w:styleId="1217">
    <w:name w:val="txt"/>
    <w:next w:val="1217"/>
    <w:link w:val="1122"/>
    <w:qFormat/>
  </w:style>
  <w:style w:type="character" w:styleId="1218">
    <w:name w:val="正文缩进 Char Char"/>
    <w:next w:val="1218"/>
    <w:link w:val="1219"/>
    <w:qFormat/>
    <w:rPr>
      <w:rFonts w:ascii="宋体" w:eastAsia="宋体"/>
      <w:color w:val="000000"/>
      <w:sz w:val="28"/>
      <w:lang w:bidi="ar-SA"/>
    </w:rPr>
  </w:style>
  <w:style w:type="paragraph" w:styleId="1219">
    <w:name w:val="正文缩进1"/>
    <w:basedOn w:val="1122"/>
    <w:next w:val="1219"/>
    <w:link w:val="1218"/>
    <w:qFormat/>
    <w:pPr>
      <w:ind w:firstLine="567"/>
      <w:spacing w:line="480" w:lineRule="exact"/>
      <w:widowControl/>
    </w:pPr>
    <w:rPr>
      <w:rFonts w:ascii="宋体"/>
      <w:color w:val="000000"/>
      <w:sz w:val="28"/>
      <w:szCs w:val="20"/>
    </w:rPr>
  </w:style>
  <w:style w:type="character" w:styleId="1220">
    <w:name w:val="普通文字1 Char1"/>
    <w:next w:val="1220"/>
    <w:link w:val="1122"/>
    <w:qFormat/>
    <w:rPr>
      <w:rFonts w:ascii="宋体" w:hAnsi="Courier New" w:eastAsia="宋体"/>
      <w:sz w:val="21"/>
      <w:lang w:val="en-US" w:eastAsia="zh-CN" w:bidi="ar-SA"/>
    </w:rPr>
  </w:style>
  <w:style w:type="character" w:styleId="1221">
    <w:name w:val="chanpin1"/>
    <w:next w:val="1221"/>
    <w:link w:val="1122"/>
    <w:qFormat/>
    <w:rPr>
      <w:rFonts w:ascii="ˎ̥" w:hAnsi="ˎ̥"/>
      <w:color w:val="000000"/>
      <w:sz w:val="20"/>
      <w:szCs w:val="20"/>
      <w:u w:val="none"/>
    </w:rPr>
  </w:style>
  <w:style w:type="character" w:styleId="1222">
    <w:name w:val="列出段落 Char1"/>
    <w:next w:val="1222"/>
    <w:link w:val="1223"/>
    <w:uiPriority w:val="34"/>
    <w:qFormat/>
    <w:rPr>
      <w:rFonts w:ascii="Calibri" w:hAnsi="Calibri" w:eastAsia="宋体"/>
      <w:sz w:val="21"/>
      <w:szCs w:val="22"/>
      <w:lang w:val="en-US" w:eastAsia="zh-CN" w:bidi="ar-SA"/>
    </w:rPr>
  </w:style>
  <w:style w:type="paragraph" w:styleId="1223">
    <w:name w:val="列出段落"/>
    <w:basedOn w:val="1122"/>
    <w:next w:val="1223"/>
    <w:link w:val="1222"/>
    <w:uiPriority w:val="34"/>
    <w:qFormat/>
    <w:pPr>
      <w:ind w:firstLine="420"/>
    </w:pPr>
    <w:rPr>
      <w:rFonts w:ascii="Calibri" w:hAnsi="Calibri"/>
      <w:szCs w:val="22"/>
    </w:rPr>
  </w:style>
  <w:style w:type="character" w:styleId="1224">
    <w:name w:val="标题 3 Char Char"/>
    <w:next w:val="1224"/>
    <w:link w:val="1122"/>
    <w:qFormat/>
    <w:rPr>
      <w:rFonts w:eastAsia="宋体"/>
      <w:b/>
      <w:bCs/>
      <w:sz w:val="32"/>
      <w:szCs w:val="32"/>
      <w:lang w:val="en-US" w:eastAsia="zh-CN" w:bidi="ar-SA"/>
    </w:rPr>
  </w:style>
  <w:style w:type="character" w:styleId="1225">
    <w:name w:val="段1 Char"/>
    <w:next w:val="1225"/>
    <w:link w:val="1122"/>
    <w:qFormat/>
    <w:rPr>
      <w:rFonts w:ascii="宋体" w:eastAsia="宋体"/>
      <w:sz w:val="24"/>
      <w:lang w:val="en-US" w:eastAsia="zh-CN" w:bidi="ar-SA"/>
    </w:rPr>
  </w:style>
  <w:style w:type="character" w:styleId="1226">
    <w:name w:val="chanpin拷贝"/>
    <w:next w:val="1226"/>
    <w:link w:val="1122"/>
    <w:qFormat/>
  </w:style>
  <w:style w:type="character" w:styleId="1227">
    <w:name w:val="纯文本 Char1"/>
    <w:next w:val="1227"/>
    <w:link w:val="1122"/>
    <w:qFormat/>
    <w:rPr>
      <w:rFonts w:ascii="宋体" w:hAnsi="Courier New" w:eastAsia="宋体"/>
      <w:sz w:val="21"/>
      <w:lang w:val="en-US" w:eastAsia="zh-CN" w:bidi="ar-SA"/>
    </w:rPr>
  </w:style>
  <w:style w:type="character" w:styleId="1228">
    <w:name w:val="apple-style-span"/>
    <w:next w:val="1228"/>
    <w:link w:val="1122"/>
    <w:qFormat/>
    <w:rPr>
      <w:rFonts w:cs="Times New Roman"/>
    </w:rPr>
  </w:style>
  <w:style w:type="paragraph" w:styleId="1229">
    <w:name w:val="二级条标题"/>
    <w:basedOn w:val="1230"/>
    <w:next w:val="1122"/>
    <w:link w:val="1122"/>
    <w:qFormat/>
    <w:pPr>
      <w:numPr>
        <w:ilvl w:val="0"/>
        <w:numId w:val="0"/>
      </w:numPr>
      <w:ind w:hanging="840"/>
      <w:tabs>
        <w:tab w:val="left" w:pos="360" w:leader="none"/>
        <w:tab w:val="left" w:pos="840" w:leader="none"/>
      </w:tabs>
      <w:outlineLvl w:val="2"/>
    </w:pPr>
    <w:rPr>
      <w:rFonts w:ascii="宋体" w:eastAsia="宋体"/>
      <w:b w:val="0"/>
    </w:rPr>
  </w:style>
  <w:style w:type="paragraph" w:styleId="1230">
    <w:name w:val="一级条标题"/>
    <w:basedOn w:val="1231"/>
    <w:next w:val="1122"/>
    <w:link w:val="1122"/>
    <w:qFormat/>
    <w:pPr>
      <w:numPr>
        <w:ilvl w:val="1"/>
      </w:numPr>
      <w:ind w:left="0" w:hanging="840"/>
      <w:tabs>
        <w:tab w:val="left" w:pos="360" w:leader="none"/>
        <w:tab w:val="left" w:pos="840" w:leader="none"/>
      </w:tabs>
      <w:outlineLvl w:val="1"/>
    </w:pPr>
  </w:style>
  <w:style w:type="paragraph" w:styleId="1231">
    <w:name w:val="章标题"/>
    <w:next w:val="1122"/>
    <w:link w:val="112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2">
    <w:name w:val="font7"/>
    <w:basedOn w:val="1122"/>
    <w:next w:val="1232"/>
    <w:link w:val="1122"/>
    <w:qFormat/>
    <w:pPr>
      <w:jc w:val="left"/>
      <w:spacing w:before="100" w:beforeAutospacing="1" w:after="100" w:afterAutospacing="1"/>
      <w:widowControl/>
    </w:pPr>
    <w:rPr>
      <w:rFonts w:eastAsia="Arial Unicode MS"/>
      <w:b/>
      <w:bCs/>
      <w:color w:val="000000"/>
      <w:sz w:val="20"/>
      <w:szCs w:val="20"/>
    </w:rPr>
  </w:style>
  <w:style w:type="paragraph" w:styleId="1233">
    <w:name w:val="字元 字元"/>
    <w:basedOn w:val="1122"/>
    <w:next w:val="1233"/>
    <w:link w:val="1122"/>
    <w:qFormat/>
    <w:rPr>
      <w:rFonts w:ascii="Tahoma" w:hAnsi="Tahoma"/>
      <w:sz w:val="24"/>
      <w:szCs w:val="20"/>
    </w:rPr>
  </w:style>
  <w:style w:type="paragraph" w:styleId="1234">
    <w:name w:val="Char3 Char Char Char"/>
    <w:basedOn w:val="1122"/>
    <w:next w:val="1234"/>
    <w:link w:val="1122"/>
    <w:qFormat/>
    <w:rPr>
      <w:rFonts w:ascii="Tahoma" w:hAnsi="Tahoma"/>
      <w:sz w:val="24"/>
      <w:szCs w:val="20"/>
    </w:rPr>
  </w:style>
  <w:style w:type="paragraph" w:styleId="1235">
    <w:name w:val="font6"/>
    <w:basedOn w:val="1122"/>
    <w:next w:val="1235"/>
    <w:link w:val="1122"/>
    <w:qFormat/>
    <w:pPr>
      <w:jc w:val="left"/>
      <w:spacing w:before="100" w:beforeAutospacing="1" w:after="100" w:afterAutospacing="1"/>
      <w:widowControl/>
    </w:pPr>
    <w:rPr>
      <w:rFonts w:ascii="宋体" w:hAnsi="宋体" w:cs="宋体"/>
      <w:sz w:val="20"/>
      <w:szCs w:val="20"/>
    </w:rPr>
  </w:style>
  <w:style w:type="paragraph" w:styleId="1236">
    <w:name w:val="项目编号2"/>
    <w:basedOn w:val="1237"/>
    <w:next w:val="1236"/>
    <w:link w:val="1122"/>
    <w:qFormat/>
    <w:pPr>
      <w:numPr>
        <w:numId w:val="3"/>
      </w:numPr>
    </w:pPr>
  </w:style>
  <w:style w:type="paragraph" w:styleId="1237">
    <w:name w:val="项目编号1"/>
    <w:basedOn w:val="1122"/>
    <w:next w:val="1237"/>
    <w:link w:val="1122"/>
    <w:qFormat/>
    <w:pPr>
      <w:numPr>
        <w:ilvl w:val="0"/>
        <w:numId w:val="2"/>
      </w:numPr>
      <w:spacing w:before="100" w:beforeAutospacing="1" w:after="100" w:afterAutospacing="1" w:line="360" w:lineRule="auto"/>
    </w:pPr>
    <w:rPr>
      <w:sz w:val="24"/>
    </w:rPr>
  </w:style>
  <w:style w:type="paragraph" w:styleId="1238">
    <w:name w:val="图中文字"/>
    <w:basedOn w:val="1122"/>
    <w:next w:val="1238"/>
    <w:link w:val="1122"/>
    <w:qFormat/>
    <w:pPr>
      <w:jc w:val="center"/>
      <w:spacing w:line="0" w:lineRule="atLeast"/>
    </w:pPr>
    <w:rPr>
      <w:sz w:val="24"/>
      <w:szCs w:val="20"/>
    </w:rPr>
  </w:style>
  <w:style w:type="paragraph" w:styleId="1239">
    <w:name w:val="xl46"/>
    <w:basedOn w:val="1122"/>
    <w:next w:val="1239"/>
    <w:link w:val="11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0">
    <w:name w:val="xl25"/>
    <w:basedOn w:val="1122"/>
    <w:next w:val="1240"/>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Char2"/>
    <w:basedOn w:val="1122"/>
    <w:next w:val="1241"/>
    <w:link w:val="1122"/>
    <w:qFormat/>
    <w:rPr>
      <w:rFonts w:ascii="Tahoma" w:hAnsi="Tahoma"/>
      <w:sz w:val="24"/>
      <w:szCs w:val="20"/>
    </w:rPr>
  </w:style>
  <w:style w:type="paragraph" w:styleId="1242">
    <w:name w:val="xl35"/>
    <w:basedOn w:val="1122"/>
    <w:next w:val="1242"/>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name w:val="xl40"/>
    <w:basedOn w:val="1122"/>
    <w:next w:val="1243"/>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name w:val="xl52"/>
    <w:basedOn w:val="1122"/>
    <w:next w:val="1244"/>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5">
    <w:name w:val="xl43"/>
    <w:basedOn w:val="1122"/>
    <w:next w:val="1245"/>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6">
    <w:name w:val="background1"/>
    <w:basedOn w:val="1122"/>
    <w:next w:val="1246"/>
    <w:link w:val="1122"/>
    <w:qFormat/>
    <w:pPr>
      <w:jc w:val="left"/>
      <w:spacing w:before="100" w:beforeAutospacing="1" w:after="100" w:afterAutospacing="1"/>
      <w:widowControl/>
    </w:pPr>
    <w:rPr>
      <w:rFonts w:ascii="宋体" w:hAnsi="宋体" w:cs="宋体"/>
      <w:sz w:val="24"/>
    </w:rPr>
  </w:style>
  <w:style w:type="paragraph" w:styleId="1247">
    <w:name w:val="Char Char Char Char Char Char Char"/>
    <w:basedOn w:val="1122"/>
    <w:next w:val="1247"/>
    <w:link w:val="1122"/>
    <w:qFormat/>
    <w:pPr>
      <w:ind w:firstLine="200"/>
      <w:spacing w:line="360" w:lineRule="auto"/>
    </w:pPr>
    <w:rPr>
      <w:rFonts w:eastAsia="仿宋_GB2312"/>
      <w:sz w:val="24"/>
    </w:rPr>
  </w:style>
  <w:style w:type="paragraph" w:styleId="1248">
    <w:name w:val="xl38"/>
    <w:basedOn w:val="1122"/>
    <w:next w:val="124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9">
    <w:name w:val="xl36"/>
    <w:basedOn w:val="1122"/>
    <w:next w:val="1249"/>
    <w:link w:val="11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name w:val="正文 + 宋体"/>
    <w:basedOn w:val="1122"/>
    <w:next w:val="1250"/>
    <w:link w:val="1122"/>
    <w:qFormat/>
    <w:pPr>
      <w:ind w:left="360" w:hanging="360"/>
      <w:jc w:val="left"/>
      <w:widowControl/>
    </w:pPr>
    <w:rPr>
      <w:rFonts w:ascii="宋体" w:hAnsi="宋体" w:cs="宋体"/>
      <w:b/>
      <w:bCs/>
      <w:color w:val="000000"/>
      <w:sz w:val="18"/>
      <w:szCs w:val="18"/>
    </w:rPr>
  </w:style>
  <w:style w:type="paragraph" w:styleId="1251">
    <w:name w:val="正文列项_数字"/>
    <w:basedOn w:val="1122"/>
    <w:next w:val="1251"/>
    <w:link w:val="1122"/>
    <w:qFormat/>
    <w:pPr>
      <w:numPr>
        <w:ilvl w:val="7"/>
        <w:numId w:val="1"/>
      </w:numPr>
      <w:ind w:left="680" w:hanging="150"/>
      <w:spacing w:line="460" w:lineRule="exact"/>
      <w:tabs>
        <w:tab w:val="clear" w:pos="860" w:leader="none"/>
      </w:tabs>
      <w:outlineLvl w:val="7"/>
    </w:pPr>
    <w:rPr>
      <w:rFonts w:ascii="宋体"/>
      <w:sz w:val="28"/>
      <w:szCs w:val="20"/>
    </w:rPr>
  </w:style>
  <w:style w:type="paragraph" w:styleId="1252">
    <w:name w:val="xl39"/>
    <w:basedOn w:val="1122"/>
    <w:next w:val="1252"/>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xl37"/>
    <w:basedOn w:val="1122"/>
    <w:next w:val="1253"/>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name w:val="xl32"/>
    <w:basedOn w:val="1122"/>
    <w:next w:val="1254"/>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name w:val="font8"/>
    <w:basedOn w:val="1122"/>
    <w:next w:val="1255"/>
    <w:link w:val="1122"/>
    <w:qFormat/>
    <w:pPr>
      <w:jc w:val="left"/>
      <w:spacing w:before="100" w:beforeAutospacing="1" w:after="100" w:afterAutospacing="1"/>
      <w:widowControl/>
    </w:pPr>
    <w:rPr>
      <w:sz w:val="36"/>
      <w:szCs w:val="36"/>
    </w:rPr>
  </w:style>
  <w:style w:type="paragraph" w:styleId="1256">
    <w:name w:val="Char"/>
    <w:basedOn w:val="1122"/>
    <w:next w:val="1256"/>
    <w:link w:val="1122"/>
    <w:qFormat/>
    <w:pPr>
      <w:tabs>
        <w:tab w:val="left" w:pos="360" w:leader="none"/>
      </w:tabs>
    </w:pPr>
    <w:rPr>
      <w:sz w:val="24"/>
    </w:rPr>
  </w:style>
  <w:style w:type="paragraph" w:styleId="1257">
    <w:name w:val="Char Char Char Char Char Char Char Char Char Char Char Char Char Char Char Char"/>
    <w:basedOn w:val="1122"/>
    <w:next w:val="1257"/>
    <w:link w:val="1122"/>
    <w:qFormat/>
    <w:pPr>
      <w:jc w:val="center"/>
      <w:spacing w:after="160" w:line="240" w:lineRule="exact"/>
      <w:widowControl/>
    </w:pPr>
    <w:rPr>
      <w:rFonts w:ascii="宋体" w:hAnsi="宋体"/>
      <w:b/>
      <w:sz w:val="30"/>
      <w:szCs w:val="30"/>
      <w:lang w:eastAsia="en-US"/>
    </w:rPr>
  </w:style>
  <w:style w:type="paragraph" w:styleId="1258">
    <w:name w:val="xl45"/>
    <w:basedOn w:val="1122"/>
    <w:next w:val="1258"/>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9">
    <w:name w:val="Char Char1 Char Char Char Char Char Char"/>
    <w:basedOn w:val="1122"/>
    <w:next w:val="1259"/>
    <w:link w:val="1122"/>
    <w:qFormat/>
    <w:pPr>
      <w:jc w:val="left"/>
      <w:spacing w:after="160" w:line="240" w:lineRule="exact"/>
      <w:widowControl/>
    </w:pPr>
    <w:rPr>
      <w:rFonts w:ascii="Verdana" w:hAnsi="Verdana" w:eastAsia="仿宋_GB2312"/>
      <w:sz w:val="24"/>
      <w:szCs w:val="20"/>
      <w:lang w:eastAsia="en-US"/>
    </w:rPr>
  </w:style>
  <w:style w:type="paragraph" w:styleId="1260">
    <w:name w:val="Char Char1"/>
    <w:basedOn w:val="1148"/>
    <w:next w:val="1260"/>
    <w:link w:val="1122"/>
    <w:qFormat/>
    <w:rPr>
      <w:rFonts w:ascii="Tahoma" w:hAnsi="Tahoma"/>
      <w:sz w:val="24"/>
    </w:rPr>
  </w:style>
  <w:style w:type="paragraph" w:styleId="1261">
    <w:name w:val="xl26"/>
    <w:basedOn w:val="1122"/>
    <w:next w:val="1261"/>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2">
    <w:name w:val="xl30"/>
    <w:basedOn w:val="1122"/>
    <w:next w:val="1262"/>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name w:val="xl41"/>
    <w:basedOn w:val="1122"/>
    <w:next w:val="1263"/>
    <w:link w:val="11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name w:val="样式 宋体 五号 行距: 单倍行距"/>
    <w:basedOn w:val="1122"/>
    <w:next w:val="1264"/>
    <w:link w:val="1122"/>
    <w:qFormat/>
    <w:pPr>
      <w:jc w:val="left"/>
    </w:pPr>
    <w:rPr>
      <w:rFonts w:ascii="宋体" w:hAnsi="宋体"/>
      <w:szCs w:val="20"/>
    </w:rPr>
  </w:style>
  <w:style w:type="paragraph" w:styleId="1265">
    <w:name w:val="Char1 Char Char Char1"/>
    <w:basedOn w:val="1122"/>
    <w:next w:val="1265"/>
    <w:link w:val="1122"/>
    <w:qFormat/>
    <w:rPr>
      <w:rFonts w:ascii="Tahoma" w:hAnsi="Tahoma" w:cs="仿宋_GB2312"/>
      <w:sz w:val="24"/>
      <w:szCs w:val="28"/>
    </w:rPr>
  </w:style>
  <w:style w:type="paragraph" w:styleId="1266">
    <w:name w:val="四级条标题"/>
    <w:basedOn w:val="1267"/>
    <w:next w:val="1122"/>
    <w:link w:val="1122"/>
    <w:qFormat/>
    <w:pPr>
      <w:numPr>
        <w:ilvl w:val="4"/>
      </w:numPr>
      <w:ind w:left="0" w:hanging="840"/>
      <w:tabs>
        <w:tab w:val="left" w:pos="360" w:leader="none"/>
        <w:tab w:val="left" w:pos="840" w:leader="none"/>
      </w:tabs>
      <w:outlineLvl w:val="4"/>
    </w:pPr>
  </w:style>
  <w:style w:type="paragraph" w:styleId="1267">
    <w:name w:val="三级条标题"/>
    <w:basedOn w:val="1229"/>
    <w:next w:val="1122"/>
    <w:link w:val="1122"/>
    <w:qFormat/>
    <w:pPr>
      <w:numPr>
        <w:ilvl w:val="3"/>
        <w:numId w:val="1"/>
      </w:numPr>
      <w:ind w:left="0" w:hanging="840"/>
      <w:tabs>
        <w:tab w:val="left" w:pos="360" w:leader="none"/>
        <w:tab w:val="left" w:pos="840" w:leader="none"/>
      </w:tabs>
      <w:outlineLvl w:val="3"/>
    </w:pPr>
  </w:style>
  <w:style w:type="paragraph" w:styleId="1268">
    <w:name w:val="??"/>
    <w:next w:val="1268"/>
    <w:link w:val="1122"/>
    <w:qFormat/>
    <w:pPr>
      <w:jc w:val="both"/>
      <w:widowControl w:val="off"/>
    </w:pPr>
    <w:rPr>
      <w:sz w:val="21"/>
      <w:lang w:val="en-US" w:eastAsia="en-US" w:bidi="ar-SA"/>
    </w:rPr>
  </w:style>
  <w:style w:type="paragraph" w:styleId="1269">
    <w:name w:val="样式 标题 2 + 宋体 五号 行距: 单倍行距"/>
    <w:basedOn w:val="1124"/>
    <w:next w:val="1269"/>
    <w:link w:val="112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0">
    <w:name w:val="List Paragraph1"/>
    <w:basedOn w:val="1122"/>
    <w:next w:val="1270"/>
    <w:link w:val="1122"/>
    <w:qFormat/>
    <w:pPr>
      <w:ind w:firstLine="420"/>
    </w:pPr>
    <w:rPr>
      <w:rFonts w:ascii="Calibri" w:hAnsi="Calibri"/>
      <w:szCs w:val="22"/>
    </w:rPr>
  </w:style>
  <w:style w:type="paragraph" w:styleId="1271">
    <w:name w:val="项目符号1"/>
    <w:basedOn w:val="1272"/>
    <w:next w:val="1271"/>
    <w:link w:val="1122"/>
    <w:qFormat/>
    <w:pPr>
      <w:ind w:left="-25" w:firstLine="0"/>
    </w:pPr>
  </w:style>
  <w:style w:type="paragraph" w:styleId="1272">
    <w:name w:val="正文文本样式"/>
    <w:basedOn w:val="1122"/>
    <w:next w:val="1272"/>
    <w:link w:val="1122"/>
    <w:qFormat/>
    <w:pPr>
      <w:ind w:firstLine="482"/>
      <w:spacing w:line="360" w:lineRule="auto"/>
    </w:pPr>
    <w:rPr>
      <w:rFonts w:cs="宋体"/>
      <w:sz w:val="24"/>
      <w:szCs w:val="20"/>
    </w:rPr>
  </w:style>
  <w:style w:type="paragraph" w:styleId="1273">
    <w:name w:val="xl27"/>
    <w:basedOn w:val="1122"/>
    <w:next w:val="1273"/>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font5"/>
    <w:basedOn w:val="1122"/>
    <w:next w:val="1274"/>
    <w:link w:val="1122"/>
    <w:qFormat/>
    <w:pPr>
      <w:jc w:val="left"/>
      <w:spacing w:before="100" w:beforeAutospacing="1" w:after="100" w:afterAutospacing="1"/>
      <w:widowControl/>
    </w:pPr>
    <w:rPr>
      <w:rFonts w:ascii="宋体" w:hAnsi="宋体" w:cs="宋体"/>
      <w:sz w:val="18"/>
      <w:szCs w:val="18"/>
    </w:rPr>
  </w:style>
  <w:style w:type="paragraph" w:styleId="1275">
    <w:name w:val="五级条标题"/>
    <w:basedOn w:val="1266"/>
    <w:next w:val="1122"/>
    <w:link w:val="1122"/>
    <w:qFormat/>
    <w:pPr>
      <w:numPr>
        <w:ilvl w:val="5"/>
      </w:numPr>
      <w:ind w:left="0" w:hanging="840"/>
      <w:tabs>
        <w:tab w:val="left" w:pos="360" w:leader="none"/>
        <w:tab w:val="left" w:pos="840" w:leader="none"/>
      </w:tabs>
      <w:outlineLvl w:val="5"/>
    </w:pPr>
  </w:style>
  <w:style w:type="paragraph" w:styleId="1276">
    <w:name w:val="xl49"/>
    <w:basedOn w:val="1122"/>
    <w:next w:val="1276"/>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7">
    <w:name w:val="文档正文"/>
    <w:basedOn w:val="1122"/>
    <w:next w:val="1277"/>
    <w:link w:val="1122"/>
    <w:qFormat/>
    <w:pPr>
      <w:spacing w:before="120" w:after="120" w:line="180" w:lineRule="auto"/>
    </w:pPr>
    <w:rPr>
      <w:rFonts w:ascii="Arial" w:hAnsi="Arial"/>
      <w:szCs w:val="20"/>
    </w:rPr>
  </w:style>
  <w:style w:type="paragraph" w:styleId="1278">
    <w:name w:val="xl33"/>
    <w:basedOn w:val="1122"/>
    <w:next w:val="127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9">
    <w:name w:val="xl42"/>
    <w:basedOn w:val="1122"/>
    <w:next w:val="127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0">
    <w:name w:val="Char Char Char1 Char"/>
    <w:basedOn w:val="1122"/>
    <w:next w:val="1280"/>
    <w:link w:val="1122"/>
    <w:qFormat/>
    <w:rPr>
      <w:rFonts w:ascii="Tahoma" w:hAnsi="Tahoma"/>
      <w:sz w:val="24"/>
      <w:szCs w:val="20"/>
    </w:rPr>
  </w:style>
  <w:style w:type="paragraph" w:styleId="1281">
    <w:name w:val="xl44"/>
    <w:basedOn w:val="1122"/>
    <w:next w:val="1281"/>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2">
    <w:name w:val="1名"/>
    <w:basedOn w:val="1122"/>
    <w:next w:val="1282"/>
    <w:link w:val="1122"/>
    <w:qFormat/>
    <w:pPr>
      <w:numPr>
        <w:ilvl w:val="0"/>
        <w:numId w:val="5"/>
      </w:numPr>
      <w:spacing w:before="120"/>
      <w:tabs>
        <w:tab w:val="left" w:pos="360" w:leader="none"/>
      </w:tabs>
    </w:pPr>
    <w:rPr>
      <w:rFonts w:ascii="宋体"/>
      <w:sz w:val="28"/>
      <w:szCs w:val="20"/>
    </w:rPr>
  </w:style>
  <w:style w:type="paragraph" w:styleId="1283">
    <w:name w:val="font9"/>
    <w:basedOn w:val="1122"/>
    <w:next w:val="1283"/>
    <w:link w:val="1122"/>
    <w:qFormat/>
    <w:pPr>
      <w:jc w:val="left"/>
      <w:spacing w:before="100" w:beforeAutospacing="1" w:after="100" w:afterAutospacing="1"/>
      <w:widowControl/>
    </w:pPr>
    <w:rPr>
      <w:rFonts w:hint="eastAsia" w:ascii="宋体" w:hAnsi="宋体" w:cs="Arial Unicode MS"/>
      <w:color w:val="000000"/>
      <w:sz w:val="20"/>
      <w:szCs w:val="20"/>
    </w:rPr>
  </w:style>
  <w:style w:type="paragraph" w:styleId="1284">
    <w:name w:val="Char Char Char1 Char1"/>
    <w:basedOn w:val="1122"/>
    <w:next w:val="1284"/>
    <w:link w:val="1122"/>
    <w:qFormat/>
    <w:rPr>
      <w:rFonts w:ascii="Tahoma" w:hAnsi="Tahoma"/>
      <w:sz w:val="24"/>
      <w:szCs w:val="20"/>
    </w:rPr>
  </w:style>
  <w:style w:type="paragraph" w:styleId="1285">
    <w:name w:val="Char Char Char Char Char Char Char Char Char Char"/>
    <w:basedOn w:val="1122"/>
    <w:next w:val="1285"/>
    <w:link w:val="1122"/>
    <w:qFormat/>
  </w:style>
  <w:style w:type="paragraph" w:styleId="1286">
    <w:name w:val="Char Char1 Char Char Char Char Char Char Char Char"/>
    <w:basedOn w:val="1122"/>
    <w:next w:val="1286"/>
    <w:link w:val="1122"/>
    <w:qFormat/>
    <w:pPr>
      <w:jc w:val="left"/>
      <w:spacing w:after="160" w:line="240" w:lineRule="exact"/>
      <w:widowControl/>
    </w:pPr>
    <w:rPr>
      <w:rFonts w:ascii="Verdana" w:hAnsi="Verdana"/>
      <w:sz w:val="20"/>
      <w:szCs w:val="20"/>
      <w:lang w:eastAsia="en-US"/>
    </w:rPr>
  </w:style>
  <w:style w:type="paragraph" w:styleId="1287">
    <w:name w:val="Char1"/>
    <w:basedOn w:val="1122"/>
    <w:next w:val="1287"/>
    <w:link w:val="1122"/>
    <w:qFormat/>
    <w:pPr>
      <w:tabs>
        <w:tab w:val="left" w:pos="360" w:leader="none"/>
      </w:tabs>
    </w:pPr>
    <w:rPr>
      <w:sz w:val="24"/>
    </w:rPr>
  </w:style>
  <w:style w:type="paragraph" w:styleId="1288">
    <w:name w:val="正文列项_字母"/>
    <w:basedOn w:val="1122"/>
    <w:next w:val="1288"/>
    <w:link w:val="1122"/>
    <w:qFormat/>
    <w:pPr>
      <w:numPr>
        <w:ilvl w:val="6"/>
        <w:numId w:val="1"/>
      </w:numPr>
      <w:ind w:left="480" w:hanging="180"/>
      <w:spacing w:line="460" w:lineRule="exact"/>
      <w:tabs>
        <w:tab w:val="clear" w:pos="635" w:leader="none"/>
      </w:tabs>
      <w:outlineLvl w:val="6"/>
    </w:pPr>
    <w:rPr>
      <w:rFonts w:ascii="宋体"/>
      <w:sz w:val="28"/>
      <w:szCs w:val="20"/>
    </w:rPr>
  </w:style>
  <w:style w:type="paragraph" w:styleId="1289">
    <w:name w:val="xl28"/>
    <w:basedOn w:val="1122"/>
    <w:next w:val="128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7"/>
    <w:basedOn w:val="1122"/>
    <w:next w:val="1290"/>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name w:val="默认段落字体 Para Char Char Char Char"/>
    <w:basedOn w:val="1122"/>
    <w:next w:val="1291"/>
    <w:link w:val="1122"/>
    <w:qFormat/>
    <w:rPr>
      <w:rFonts w:ascii="Arial" w:hAnsi="Arial" w:cs="Arial"/>
      <w:szCs w:val="21"/>
    </w:rPr>
  </w:style>
  <w:style w:type="paragraph" w:styleId="1292">
    <w:name w:val="xl48"/>
    <w:basedOn w:val="1122"/>
    <w:next w:val="1292"/>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3">
    <w:name w:val="xl31"/>
    <w:basedOn w:val="1122"/>
    <w:next w:val="1293"/>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xl53"/>
    <w:basedOn w:val="1122"/>
    <w:next w:val="1294"/>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Char Char Char"/>
    <w:basedOn w:val="1122"/>
    <w:next w:val="1295"/>
    <w:link w:val="1122"/>
    <w:qFormat/>
    <w:rPr>
      <w:rFonts w:ascii="Tahoma" w:hAnsi="Tahoma"/>
      <w:sz w:val="24"/>
      <w:szCs w:val="20"/>
    </w:rPr>
  </w:style>
  <w:style w:type="paragraph" w:styleId="1296">
    <w:name w:val="xl50"/>
    <w:basedOn w:val="1122"/>
    <w:next w:val="1296"/>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缺省文本"/>
    <w:basedOn w:val="1122"/>
    <w:next w:val="1297"/>
    <w:link w:val="1122"/>
    <w:qFormat/>
    <w:pPr>
      <w:jc w:val="left"/>
    </w:pPr>
    <w:rPr>
      <w:sz w:val="24"/>
    </w:rPr>
  </w:style>
  <w:style w:type="paragraph" w:styleId="1298">
    <w:name w:val="Char Char Char1"/>
    <w:basedOn w:val="1122"/>
    <w:next w:val="1298"/>
    <w:link w:val="1122"/>
    <w:qFormat/>
    <w:rPr>
      <w:rFonts w:ascii="Tahoma" w:hAnsi="Tahoma"/>
      <w:sz w:val="24"/>
      <w:szCs w:val="20"/>
    </w:rPr>
  </w:style>
  <w:style w:type="paragraph" w:styleId="1299">
    <w:name w:val="Char Char Char Char Char Char Char1"/>
    <w:basedOn w:val="1122"/>
    <w:next w:val="1299"/>
    <w:link w:val="1122"/>
    <w:qFormat/>
    <w:pPr>
      <w:ind w:firstLine="200"/>
      <w:spacing w:line="360" w:lineRule="auto"/>
    </w:pPr>
    <w:rPr>
      <w:rFonts w:eastAsia="仿宋_GB2312"/>
      <w:sz w:val="24"/>
    </w:rPr>
  </w:style>
  <w:style w:type="paragraph" w:styleId="1300">
    <w:name w:val="xl51"/>
    <w:basedOn w:val="1122"/>
    <w:next w:val="1300"/>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样式2"/>
    <w:basedOn w:val="1186"/>
    <w:next w:val="1301"/>
    <w:link w:val="1122"/>
    <w:qFormat/>
    <w:pPr>
      <w:jc w:val="center"/>
      <w:spacing w:line="360" w:lineRule="auto"/>
    </w:pPr>
    <w:rPr>
      <w:sz w:val="24"/>
    </w:rPr>
  </w:style>
  <w:style w:type="paragraph" w:styleId="1302">
    <w:name w:val="xl24"/>
    <w:basedOn w:val="1122"/>
    <w:next w:val="1302"/>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xl29"/>
    <w:basedOn w:val="1122"/>
    <w:next w:val="1303"/>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4">
    <w:name w:val="正文 + 楷体_GB2312"/>
    <w:basedOn w:val="1122"/>
    <w:next w:val="1304"/>
    <w:link w:val="1122"/>
    <w:qFormat/>
    <w:pPr>
      <w:jc w:val="left"/>
      <w:widowControl/>
    </w:pPr>
    <w:rPr>
      <w:rFonts w:ascii="楷体_GB2312" w:eastAsia="楷体_GB2312" w:cs="Arial"/>
      <w:sz w:val="24"/>
    </w:rPr>
  </w:style>
  <w:style w:type="paragraph" w:styleId="1305">
    <w:name w:val="xl34"/>
    <w:basedOn w:val="1122"/>
    <w:next w:val="1305"/>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6">
    <w:name w:val="1 Char Char Char Char"/>
    <w:basedOn w:val="1122"/>
    <w:next w:val="1306"/>
    <w:link w:val="1122"/>
    <w:qFormat/>
    <w:rPr>
      <w:rFonts w:ascii="Tahoma" w:hAnsi="Tahoma"/>
      <w:sz w:val="24"/>
      <w:szCs w:val="20"/>
    </w:rPr>
  </w:style>
  <w:style w:type="paragraph" w:styleId="1307">
    <w:name w:val="Default"/>
    <w:next w:val="1307"/>
    <w:link w:val="1122"/>
    <w:qFormat/>
    <w:pPr>
      <w:widowControl w:val="off"/>
    </w:pPr>
    <w:rPr>
      <w:rFonts w:ascii="Symbol" w:hAnsi="Symbol" w:cs="Symbol"/>
      <w:color w:val="000000"/>
      <w:sz w:val="24"/>
      <w:szCs w:val="24"/>
      <w:lang w:val="en-US" w:eastAsia="zh-CN" w:bidi="ar-SA"/>
    </w:rPr>
  </w:style>
  <w:style w:type="paragraph" w:styleId="1308">
    <w:name w:val="列出段落1"/>
    <w:basedOn w:val="1122"/>
    <w:next w:val="1308"/>
    <w:link w:val="1122"/>
    <w:qFormat/>
    <w:pPr>
      <w:ind w:firstLine="420"/>
    </w:pPr>
    <w:rPr>
      <w:rFonts w:ascii="Calibri" w:hAnsi="Calibri"/>
      <w:szCs w:val="22"/>
    </w:rPr>
  </w:style>
  <w:style w:type="paragraph" w:styleId="1309">
    <w:name w:val="default"/>
    <w:basedOn w:val="1122"/>
    <w:next w:val="1309"/>
    <w:link w:val="1122"/>
    <w:qFormat/>
    <w:pPr>
      <w:jc w:val="left"/>
      <w:spacing w:before="100" w:beforeAutospacing="1" w:after="100" w:afterAutospacing="1"/>
      <w:widowControl/>
    </w:pPr>
    <w:rPr>
      <w:rFonts w:ascii="宋体" w:hAnsi="宋体" w:cs="宋体"/>
      <w:sz w:val="24"/>
    </w:rPr>
  </w:style>
  <w:style w:type="paragraph" w:styleId="1310">
    <w:name w:val="字元 字元1"/>
    <w:basedOn w:val="1122"/>
    <w:next w:val="1310"/>
    <w:link w:val="1122"/>
    <w:qFormat/>
    <w:rPr>
      <w:rFonts w:ascii="Tahoma" w:hAnsi="Tahoma"/>
      <w:sz w:val="24"/>
      <w:szCs w:val="20"/>
    </w:rPr>
  </w:style>
  <w:style w:type="paragraph" w:styleId="1311">
    <w:name w:val="_Style 160"/>
    <w:next w:val="1311"/>
    <w:link w:val="1122"/>
    <w:qFormat/>
    <w:rPr>
      <w:sz w:val="21"/>
      <w:szCs w:val="24"/>
      <w:lang w:val="en-US" w:eastAsia="zh-CN" w:bidi="ar-SA"/>
    </w:rPr>
  </w:style>
  <w:style w:type="paragraph" w:styleId="1312">
    <w:name w:val="项目编号3"/>
    <w:basedOn w:val="1272"/>
    <w:next w:val="1312"/>
    <w:link w:val="1122"/>
    <w:qFormat/>
    <w:pPr>
      <w:numPr>
        <w:ilvl w:val="0"/>
        <w:numId w:val="6"/>
      </w:numPr>
    </w:pPr>
  </w:style>
  <w:style w:type="paragraph" w:styleId="1313">
    <w:name w:val="Char21"/>
    <w:basedOn w:val="1122"/>
    <w:next w:val="1313"/>
    <w:link w:val="1122"/>
    <w:qFormat/>
    <w:rPr>
      <w:rFonts w:ascii="Tahoma" w:hAnsi="Tahoma"/>
      <w:sz w:val="24"/>
      <w:szCs w:val="20"/>
    </w:rPr>
  </w:style>
  <w:style w:type="paragraph" w:styleId="1314">
    <w:name w:val="Char Char Char Char Char Char Char Char Char Char1"/>
    <w:basedOn w:val="1122"/>
    <w:next w:val="1314"/>
    <w:link w:val="1122"/>
    <w:qFormat/>
    <w:rPr>
      <w:rFonts w:ascii="宋体" w:hAnsi="宋体" w:cs="Courier New"/>
      <w:sz w:val="32"/>
      <w:szCs w:val="32"/>
    </w:rPr>
  </w:style>
  <w:style w:type="paragraph" w:styleId="1315">
    <w:name w:val="正文文本样式 加粗"/>
    <w:basedOn w:val="1272"/>
    <w:next w:val="1315"/>
    <w:link w:val="1122"/>
    <w:qFormat/>
    <w:rPr>
      <w:b/>
    </w:rPr>
  </w:style>
  <w:style w:type="paragraph" w:styleId="1316">
    <w:name w:val="Char2 Char Char Char Char Char Char"/>
    <w:basedOn w:val="1122"/>
    <w:next w:val="1316"/>
    <w:link w:val="1122"/>
    <w:qFormat/>
    <w:pPr>
      <w:jc w:val="center"/>
      <w:spacing w:line="400" w:lineRule="exact"/>
      <w:widowControl/>
    </w:pPr>
  </w:style>
  <w:style w:type="paragraph" w:styleId="1317">
    <w:name w:val="Char Char4"/>
    <w:basedOn w:val="1122"/>
    <w:next w:val="1317"/>
    <w:link w:val="1122"/>
    <w:qFormat/>
    <w:pPr>
      <w:jc w:val="center"/>
      <w:spacing w:line="400" w:lineRule="exact"/>
      <w:widowControl/>
    </w:pPr>
  </w:style>
  <w:style w:type="paragraph" w:styleId="1318">
    <w:name w:val="Char3 Char Char Char1"/>
    <w:basedOn w:val="1122"/>
    <w:next w:val="1318"/>
    <w:link w:val="1122"/>
    <w:qFormat/>
    <w:rPr>
      <w:rFonts w:ascii="Tahoma" w:hAnsi="Tahoma"/>
      <w:sz w:val="24"/>
      <w:szCs w:val="20"/>
    </w:rPr>
  </w:style>
  <w:style w:type="paragraph" w:styleId="1319">
    <w:name w:val="无间隔"/>
    <w:next w:val="1319"/>
    <w:link w:val="1122"/>
    <w:qFormat/>
    <w:pPr>
      <w:jc w:val="both"/>
      <w:widowControl w:val="off"/>
    </w:pPr>
    <w:rPr>
      <w:sz w:val="21"/>
      <w:szCs w:val="24"/>
      <w:lang w:val="en-US" w:eastAsia="zh-CN" w:bidi="ar-SA"/>
    </w:rPr>
  </w:style>
  <w:style w:type="paragraph" w:styleId="1320">
    <w:name w:val="22222222222222"/>
    <w:basedOn w:val="1122"/>
    <w:next w:val="1320"/>
    <w:link w:val="1122"/>
    <w:qFormat/>
    <w:pPr>
      <w:ind w:firstLine="480"/>
      <w:jc w:val="left"/>
      <w:spacing w:line="360" w:lineRule="auto"/>
      <w:widowControl/>
    </w:pPr>
    <w:rPr>
      <w:color w:val="ff0000"/>
      <w:sz w:val="24"/>
      <w:szCs w:val="20"/>
    </w:rPr>
  </w:style>
  <w:style w:type="character" w:styleId="1321">
    <w:name w:val="中等深浅网格 1 - 强调文字颜色 2 Char"/>
    <w:next w:val="1321"/>
    <w:link w:val="1322"/>
    <w:qFormat/>
    <w:rPr>
      <w:sz w:val="21"/>
      <w:szCs w:val="24"/>
      <w:lang w:val="zh-CN" w:eastAsia="zh-CN" w:bidi="ar-SA"/>
    </w:rPr>
  </w:style>
  <w:style w:type="paragraph" w:styleId="1322">
    <w:name w:val="1"/>
    <w:next w:val="1322"/>
    <w:link w:val="1321"/>
    <w:qFormat/>
    <w:rPr>
      <w:sz w:val="21"/>
      <w:szCs w:val="24"/>
      <w:lang w:val="zh-CN" w:eastAsia="zh-CN" w:bidi="ar-SA"/>
    </w:rPr>
  </w:style>
  <w:style w:type="paragraph" w:styleId="1323">
    <w:name w:val="图文"/>
    <w:basedOn w:val="1122"/>
    <w:next w:val="1323"/>
    <w:link w:val="1122"/>
    <w:qFormat/>
    <w:pPr>
      <w:spacing w:after="50" w:line="360" w:lineRule="auto"/>
    </w:pPr>
    <w:rPr>
      <w:sz w:val="24"/>
    </w:rPr>
  </w:style>
  <w:style w:type="paragraph" w:styleId="1324">
    <w:name w:val="xl23"/>
    <w:basedOn w:val="1122"/>
    <w:next w:val="1324"/>
    <w:link w:val="1122"/>
    <w:qFormat/>
    <w:pPr>
      <w:spacing w:before="100" w:beforeAutospacing="1" w:after="100" w:afterAutospacing="1" w:line="360" w:lineRule="auto"/>
      <w:widowControl/>
    </w:pPr>
    <w:rPr>
      <w:sz w:val="24"/>
      <w:szCs w:val="20"/>
    </w:rPr>
  </w:style>
  <w:style w:type="paragraph" w:styleId="1325">
    <w:name w:val="正文表格"/>
    <w:basedOn w:val="1122"/>
    <w:next w:val="1325"/>
    <w:link w:val="1326"/>
    <w:qFormat/>
    <w:pPr>
      <w:jc w:val="left"/>
    </w:pPr>
    <w:rPr>
      <w:rFonts w:ascii="宋体" w:hAnsi="宋体"/>
      <w:color w:val="000000"/>
      <w:szCs w:val="21"/>
    </w:rPr>
  </w:style>
  <w:style w:type="character" w:styleId="1326">
    <w:name w:val="正文表格 Char"/>
    <w:next w:val="1326"/>
    <w:link w:val="1325"/>
    <w:qFormat/>
    <w:rPr>
      <w:rFonts w:ascii="宋体" w:hAnsi="宋体"/>
      <w:color w:val="000000"/>
      <w:sz w:val="21"/>
      <w:szCs w:val="21"/>
    </w:rPr>
  </w:style>
  <w:style w:type="paragraph" w:styleId="1327">
    <w:name w:val="正文重点"/>
    <w:basedOn w:val="1122"/>
    <w:next w:val="1327"/>
    <w:link w:val="1328"/>
    <w:qFormat/>
    <w:pPr>
      <w:ind w:firstLine="482"/>
      <w:jc w:val="left"/>
      <w:spacing w:line="360" w:lineRule="auto"/>
    </w:pPr>
    <w:rPr>
      <w:b/>
      <w:sz w:val="24"/>
      <w:szCs w:val="20"/>
    </w:rPr>
  </w:style>
  <w:style w:type="character" w:styleId="1328">
    <w:name w:val="正文重点 Char"/>
    <w:next w:val="1328"/>
    <w:link w:val="1327"/>
    <w:qFormat/>
    <w:rPr>
      <w:b/>
      <w:sz w:val="24"/>
    </w:rPr>
  </w:style>
  <w:style w:type="paragraph" w:styleId="1329">
    <w:name w:val="标题1-附件"/>
    <w:basedOn w:val="1123"/>
    <w:next w:val="1329"/>
    <w:link w:val="1122"/>
    <w:qFormat/>
    <w:pPr>
      <w:jc w:val="left"/>
    </w:pPr>
    <w:rPr>
      <w:sz w:val="24"/>
      <w:szCs w:val="24"/>
    </w:rPr>
  </w:style>
  <w:style w:type="paragraph" w:styleId="1330">
    <w:name w:val="正文小标题"/>
    <w:basedOn w:val="1122"/>
    <w:next w:val="1136"/>
    <w:link w:val="1331"/>
    <w:qFormat/>
    <w:pPr>
      <w:ind w:firstLine="482"/>
      <w:jc w:val="left"/>
      <w:spacing w:before="312" w:after="312"/>
    </w:pPr>
    <w:rPr>
      <w:rFonts w:ascii="宋体" w:hAnsi="宋体"/>
      <w:b/>
      <w:i/>
      <w:color w:val="ff0000"/>
      <w:sz w:val="24"/>
      <w:szCs w:val="20"/>
    </w:rPr>
  </w:style>
  <w:style w:type="character" w:styleId="1331">
    <w:name w:val="正文小标题 Char"/>
    <w:next w:val="1331"/>
    <w:link w:val="1330"/>
    <w:qFormat/>
    <w:rPr>
      <w:rFonts w:ascii="宋体" w:hAnsi="宋体"/>
      <w:b/>
      <w:i/>
      <w:color w:val="ff0000"/>
      <w:sz w:val="24"/>
    </w:rPr>
  </w:style>
  <w:style w:type="paragraph" w:styleId="1332">
    <w:name w:val="正文大标题"/>
    <w:basedOn w:val="1330"/>
    <w:next w:val="1136"/>
    <w:link w:val="1333"/>
    <w:qFormat/>
    <w:pPr>
      <w:jc w:val="center"/>
    </w:pPr>
    <w:rPr>
      <w:i w:val="0"/>
      <w:color w:val="000000"/>
      <w:sz w:val="28"/>
      <w:szCs w:val="21"/>
    </w:rPr>
  </w:style>
  <w:style w:type="character" w:styleId="1333">
    <w:name w:val="正文大标题 Char"/>
    <w:next w:val="1333"/>
    <w:link w:val="1332"/>
    <w:qFormat/>
    <w:rPr>
      <w:rFonts w:ascii="宋体" w:hAnsi="宋体"/>
      <w:b/>
      <w:color w:val="000000"/>
      <w:sz w:val="28"/>
      <w:szCs w:val="21"/>
    </w:rPr>
  </w:style>
  <w:style w:type="paragraph" w:styleId="1334">
    <w:name w:val="注释"/>
    <w:basedOn w:val="1122"/>
    <w:next w:val="1334"/>
    <w:link w:val="1335"/>
    <w:qFormat/>
    <w:pPr>
      <w:ind w:left="420" w:hanging="420"/>
      <w:jc w:val="left"/>
    </w:pPr>
    <w:rPr>
      <w:rFonts w:ascii="宋体" w:hAnsi="宋体"/>
      <w:szCs w:val="21"/>
    </w:rPr>
  </w:style>
  <w:style w:type="character" w:styleId="1335">
    <w:name w:val="注释 Char"/>
    <w:next w:val="1335"/>
    <w:link w:val="1334"/>
    <w:qFormat/>
    <w:rPr>
      <w:rFonts w:ascii="宋体" w:hAnsi="宋体"/>
      <w:sz w:val="21"/>
      <w:szCs w:val="21"/>
    </w:rPr>
  </w:style>
  <w:style w:type="paragraph" w:styleId="1336">
    <w:name w:val="正文须知-1级"/>
    <w:basedOn w:val="1122"/>
    <w:next w:val="1122"/>
    <w:link w:val="1122"/>
    <w:qFormat/>
    <w:pPr>
      <w:numPr>
        <w:ilvl w:val="0"/>
        <w:numId w:val="7"/>
      </w:numPr>
      <w:spacing w:line="300" w:lineRule="auto"/>
    </w:pPr>
    <w:rPr>
      <w:rFonts w:ascii="宋体" w:hAnsi="Calibri"/>
      <w:sz w:val="24"/>
      <w:szCs w:val="21"/>
    </w:rPr>
  </w:style>
  <w:style w:type="paragraph" w:styleId="1337">
    <w:name w:val="正文须知-2级"/>
    <w:basedOn w:val="1122"/>
    <w:next w:val="1337"/>
    <w:link w:val="1122"/>
    <w:qFormat/>
    <w:pPr>
      <w:numPr>
        <w:ilvl w:val="1"/>
        <w:numId w:val="7"/>
      </w:numPr>
      <w:spacing w:line="300" w:lineRule="auto"/>
    </w:pPr>
    <w:rPr>
      <w:rFonts w:ascii="宋体" w:hAnsi="Calibri"/>
      <w:sz w:val="24"/>
      <w:szCs w:val="21"/>
    </w:rPr>
  </w:style>
  <w:style w:type="paragraph" w:styleId="1338">
    <w:name w:val="正文须知-3级"/>
    <w:basedOn w:val="1122"/>
    <w:next w:val="1338"/>
    <w:link w:val="1122"/>
    <w:qFormat/>
    <w:pPr>
      <w:numPr>
        <w:ilvl w:val="2"/>
        <w:numId w:val="7"/>
      </w:numPr>
      <w:ind w:hanging="355"/>
      <w:spacing w:line="300" w:lineRule="auto"/>
    </w:pPr>
    <w:rPr>
      <w:rFonts w:ascii="宋体" w:hAnsi="Calibri"/>
      <w:sz w:val="24"/>
      <w:szCs w:val="21"/>
    </w:rPr>
  </w:style>
  <w:style w:type="character" w:styleId="1339">
    <w:name w:val="纯文本 字符"/>
    <w:next w:val="1339"/>
    <w:link w:val="1122"/>
    <w:uiPriority w:val="99"/>
    <w:qFormat/>
    <w:rPr>
      <w:rFonts w:ascii="宋体" w:hAnsi="Courier New" w:eastAsia="宋体" w:cs="Times New Roman"/>
      <w:sz w:val="21"/>
      <w:szCs w:val="21"/>
      <w:lang w:val="en-US" w:eastAsia="zh-CN" w:bidi="ar-SA"/>
    </w:rPr>
  </w:style>
  <w:style w:type="paragraph" w:styleId="1340">
    <w:name w:val="表格1"/>
    <w:basedOn w:val="1122"/>
    <w:next w:val="1340"/>
    <w:link w:val="1122"/>
    <w:qFormat/>
    <w:pPr>
      <w:ind w:firstLine="480"/>
      <w:jc w:val="center"/>
    </w:pPr>
    <w:rPr>
      <w:sz w:val="24"/>
      <w:szCs w:val="20"/>
    </w:rPr>
  </w:style>
  <w:style w:type="character" w:styleId="1341">
    <w:name w:val="纯文本 字符1"/>
    <w:next w:val="1341"/>
    <w:link w:val="1122"/>
    <w:qFormat/>
    <w:rPr>
      <w:rFonts w:ascii="宋体" w:hAnsi="Courier New"/>
    </w:rPr>
  </w:style>
  <w:style w:type="character" w:styleId="1342">
    <w:name w:val="bjh-p"/>
    <w:next w:val="1342"/>
    <w:link w:val="1122"/>
    <w:qFormat/>
  </w:style>
  <w:style w:type="paragraph" w:styleId="1343">
    <w:name w:val="无标题条"/>
    <w:next w:val="1122"/>
    <w:link w:val="1122"/>
    <w:qFormat/>
    <w:pPr>
      <w:jc w:val="both"/>
    </w:pPr>
    <w:rPr>
      <w:sz w:val="21"/>
      <w:lang w:val="en-US" w:eastAsia="zh-CN" w:bidi="ar-SA"/>
    </w:rPr>
  </w:style>
  <w:style w:type="character" w:styleId="1344">
    <w:name w:val="正文格式 Char"/>
    <w:next w:val="1344"/>
    <w:link w:val="1345"/>
    <w:qFormat/>
    <w:rPr>
      <w:rFonts w:ascii="宋体" w:hAnsi="宋体"/>
      <w:sz w:val="24"/>
      <w:szCs w:val="24"/>
      <w:lang w:val="en-GB"/>
    </w:rPr>
  </w:style>
  <w:style w:type="paragraph" w:styleId="1345">
    <w:name w:val="正文格式"/>
    <w:basedOn w:val="1122"/>
    <w:next w:val="1345"/>
    <w:link w:val="1344"/>
    <w:qFormat/>
    <w:pPr>
      <w:ind w:firstLine="480"/>
      <w:spacing w:line="360" w:lineRule="auto"/>
    </w:pPr>
    <w:rPr>
      <w:rFonts w:ascii="宋体" w:hAnsi="宋体"/>
      <w:sz w:val="24"/>
      <w:lang w:val="en-GB"/>
    </w:rPr>
  </w:style>
  <w:style w:type="character" w:styleId="1346">
    <w:name w:val="标题 3 Char"/>
    <w:next w:val="1346"/>
    <w:link w:val="1122"/>
    <w:qFormat/>
    <w:rPr>
      <w:rFonts w:ascii="宋体" w:eastAsia="宋体"/>
      <w:b/>
      <w:sz w:val="24"/>
      <w:u w:val="single"/>
      <w:lang w:val="en-US" w:eastAsia="zh-CN" w:bidi="ar-SA"/>
    </w:rPr>
  </w:style>
  <w:style w:type="character" w:styleId="1347">
    <w:name w:val="正文缩进 Char"/>
    <w:next w:val="1347"/>
    <w:link w:val="1122"/>
    <w:qFormat/>
    <w:rPr>
      <w:rFonts w:ascii="宋体" w:eastAsia="宋体"/>
      <w:sz w:val="24"/>
      <w:szCs w:val="24"/>
      <w:lang w:val="en-US" w:eastAsia="zh-CN" w:bidi="ar-SA"/>
    </w:rPr>
  </w:style>
  <w:style w:type="character" w:styleId="1348">
    <w:name w:val="Char Char111"/>
    <w:next w:val="1348"/>
    <w:link w:val="1122"/>
    <w:qFormat/>
    <w:rPr>
      <w:rFonts w:ascii="宋体" w:eastAsia="宋体"/>
      <w:b/>
      <w:sz w:val="24"/>
      <w:u w:val="single"/>
      <w:lang w:val="en-US" w:eastAsia="zh-CN" w:bidi="ar-SA"/>
    </w:rPr>
  </w:style>
  <w:style w:type="character" w:styleId="1349">
    <w:name w:val="正文文本缩进 Char"/>
    <w:next w:val="1349"/>
    <w:link w:val="1122"/>
    <w:qFormat/>
    <w:rPr>
      <w:rFonts w:eastAsia="宋体"/>
      <w:sz w:val="24"/>
      <w:szCs w:val="24"/>
      <w:lang w:val="en-US" w:eastAsia="zh-CN" w:bidi="ar-SA"/>
    </w:rPr>
  </w:style>
  <w:style w:type="character" w:styleId="1350">
    <w:name w:val="列出段落 Char"/>
    <w:next w:val="1350"/>
    <w:link w:val="1122"/>
    <w:qFormat/>
    <w:rPr>
      <w:rFonts w:ascii="Calibri" w:hAnsi="Calibri" w:eastAsia="宋体"/>
      <w:sz w:val="21"/>
      <w:szCs w:val="22"/>
      <w:lang w:val="en-US" w:eastAsia="zh-CN" w:bidi="ar-SA"/>
    </w:rPr>
  </w:style>
  <w:style w:type="character" w:styleId="1351">
    <w:name w:val="页眉 Char"/>
    <w:next w:val="1351"/>
    <w:link w:val="1122"/>
    <w:qFormat/>
    <w:rPr>
      <w:rFonts w:eastAsia="宋体"/>
      <w:sz w:val="18"/>
      <w:szCs w:val="18"/>
      <w:lang w:val="en-US" w:eastAsia="zh-CN" w:bidi="ar-SA"/>
    </w:rPr>
  </w:style>
  <w:style w:type="character" w:styleId="1352">
    <w:name w:val="标题 2 Char"/>
    <w:next w:val="1352"/>
    <w:link w:val="1122"/>
    <w:qFormat/>
    <w:rPr>
      <w:rFonts w:ascii="Arial" w:hAnsi="Arial" w:eastAsia="黑体"/>
      <w:b/>
      <w:sz w:val="30"/>
      <w:lang w:val="en-US" w:eastAsia="zh-CN" w:bidi="ar-SA"/>
    </w:rPr>
  </w:style>
  <w:style w:type="paragraph" w:styleId="1353">
    <w:name w:val="字元 字元2"/>
    <w:basedOn w:val="1122"/>
    <w:next w:val="1353"/>
    <w:link w:val="1122"/>
    <w:qFormat/>
    <w:rPr>
      <w:rFonts w:ascii="Tahoma" w:hAnsi="Tahoma"/>
      <w:sz w:val="24"/>
      <w:szCs w:val="20"/>
    </w:rPr>
  </w:style>
  <w:style w:type="paragraph" w:styleId="1354">
    <w:name w:val="Char3 Char Char Char2"/>
    <w:basedOn w:val="1122"/>
    <w:next w:val="1354"/>
    <w:link w:val="1122"/>
    <w:qFormat/>
    <w:rPr>
      <w:rFonts w:ascii="Tahoma" w:hAnsi="Tahoma"/>
      <w:sz w:val="24"/>
      <w:szCs w:val="20"/>
    </w:rPr>
  </w:style>
  <w:style w:type="paragraph" w:styleId="1355">
    <w:name w:val="正文文本缩进2"/>
    <w:basedOn w:val="1122"/>
    <w:next w:val="1355"/>
    <w:link w:val="1122"/>
    <w:qFormat/>
    <w:pPr>
      <w:ind w:firstLine="480"/>
      <w:spacing w:line="480" w:lineRule="exact"/>
    </w:pPr>
    <w:rPr>
      <w:rFonts w:ascii="宋体" w:hAnsi="宋体"/>
      <w:sz w:val="24"/>
      <w:lang w:val="zh-CN" w:eastAsia="zh-CN"/>
    </w:rPr>
  </w:style>
  <w:style w:type="paragraph" w:styleId="1356">
    <w:name w:val="Char3"/>
    <w:basedOn w:val="1122"/>
    <w:next w:val="1356"/>
    <w:link w:val="1122"/>
    <w:qFormat/>
    <w:pPr>
      <w:tabs>
        <w:tab w:val="left" w:pos="360" w:leader="none"/>
      </w:tabs>
    </w:pPr>
    <w:rPr>
      <w:sz w:val="24"/>
    </w:rPr>
  </w:style>
  <w:style w:type="paragraph" w:styleId="1357">
    <w:name w:val="Char Char Char Char Char Char Char Char Char Char Char Char Char Char Char Char1"/>
    <w:basedOn w:val="1122"/>
    <w:next w:val="1357"/>
    <w:link w:val="1122"/>
    <w:qFormat/>
    <w:pPr>
      <w:jc w:val="center"/>
      <w:spacing w:after="160" w:line="240" w:lineRule="exact"/>
      <w:widowControl/>
    </w:pPr>
    <w:rPr>
      <w:rFonts w:ascii="宋体" w:hAnsi="宋体"/>
      <w:b/>
      <w:sz w:val="30"/>
      <w:szCs w:val="30"/>
      <w:lang w:eastAsia="en-US"/>
    </w:rPr>
  </w:style>
  <w:style w:type="paragraph" w:styleId="1358">
    <w:name w:val="Char Char1 Char Char Char Char Char Char1"/>
    <w:basedOn w:val="1122"/>
    <w:next w:val="1358"/>
    <w:link w:val="1122"/>
    <w:qFormat/>
    <w:pPr>
      <w:jc w:val="left"/>
      <w:spacing w:after="160" w:line="240" w:lineRule="exact"/>
      <w:widowControl/>
    </w:pPr>
    <w:rPr>
      <w:rFonts w:ascii="Verdana" w:hAnsi="Verdana" w:eastAsia="仿宋_GB2312"/>
      <w:sz w:val="24"/>
      <w:szCs w:val="20"/>
      <w:lang w:eastAsia="en-US"/>
    </w:rPr>
  </w:style>
  <w:style w:type="paragraph" w:styleId="1359">
    <w:name w:val="列出段落2"/>
    <w:basedOn w:val="1122"/>
    <w:next w:val="1359"/>
    <w:link w:val="1122"/>
    <w:qFormat/>
    <w:pPr>
      <w:ind w:firstLine="420"/>
    </w:pPr>
    <w:rPr>
      <w:rFonts w:ascii="Calibri" w:hAnsi="Calibri"/>
      <w:szCs w:val="22"/>
    </w:rPr>
  </w:style>
  <w:style w:type="paragraph" w:styleId="1360">
    <w:name w:val="Char Char Char1 Char2"/>
    <w:basedOn w:val="1122"/>
    <w:next w:val="1360"/>
    <w:link w:val="1122"/>
    <w:qFormat/>
    <w:rPr>
      <w:rFonts w:ascii="Tahoma" w:hAnsi="Tahoma"/>
      <w:sz w:val="24"/>
      <w:szCs w:val="20"/>
    </w:rPr>
  </w:style>
  <w:style w:type="paragraph" w:styleId="1361">
    <w:name w:val="Char Char Char2"/>
    <w:basedOn w:val="1122"/>
    <w:next w:val="1361"/>
    <w:link w:val="1122"/>
    <w:qFormat/>
    <w:rPr>
      <w:rFonts w:ascii="Tahoma" w:hAnsi="Tahoma"/>
      <w:sz w:val="24"/>
      <w:szCs w:val="20"/>
    </w:rPr>
  </w:style>
  <w:style w:type="paragraph" w:styleId="1362">
    <w:name w:val="Char Char Char Char Char Char Char2"/>
    <w:basedOn w:val="1122"/>
    <w:next w:val="1362"/>
    <w:link w:val="1122"/>
    <w:qFormat/>
    <w:pPr>
      <w:ind w:firstLine="200"/>
      <w:spacing w:line="360" w:lineRule="auto"/>
    </w:pPr>
    <w:rPr>
      <w:rFonts w:eastAsia="仿宋_GB2312"/>
      <w:sz w:val="24"/>
    </w:rPr>
  </w:style>
  <w:style w:type="paragraph" w:styleId="1363">
    <w:name w:val="正文缩进2"/>
    <w:basedOn w:val="1122"/>
    <w:next w:val="1363"/>
    <w:link w:val="1122"/>
    <w:qFormat/>
    <w:pPr>
      <w:ind w:firstLine="567"/>
      <w:spacing w:line="480" w:lineRule="exact"/>
      <w:widowControl/>
    </w:pPr>
    <w:rPr>
      <w:rFonts w:ascii="宋体"/>
      <w:color w:val="000000"/>
      <w:sz w:val="28"/>
      <w:szCs w:val="20"/>
      <w:lang w:val="zh-CN" w:eastAsia="zh-CN"/>
    </w:rPr>
  </w:style>
  <w:style w:type="paragraph" w:styleId="1364">
    <w:name w:val="Revision"/>
    <w:next w:val="1364"/>
    <w:link w:val="1122"/>
    <w:qFormat/>
    <w:rPr>
      <w:sz w:val="21"/>
      <w:szCs w:val="24"/>
      <w:lang w:val="en-US" w:eastAsia="zh-CN" w:bidi="ar-SA"/>
    </w:rPr>
  </w:style>
  <w:style w:type="paragraph" w:styleId="1365">
    <w:name w:val="Char22"/>
    <w:basedOn w:val="1122"/>
    <w:next w:val="1365"/>
    <w:link w:val="1122"/>
    <w:qFormat/>
    <w:rPr>
      <w:rFonts w:ascii="Tahoma" w:hAnsi="Tahoma"/>
      <w:sz w:val="24"/>
      <w:szCs w:val="20"/>
    </w:rPr>
  </w:style>
  <w:style w:type="paragraph" w:styleId="1366">
    <w:name w:val="Char Char Char Char Char Char Char Char Char Char2"/>
    <w:basedOn w:val="1122"/>
    <w:next w:val="1366"/>
    <w:link w:val="1122"/>
    <w:qFormat/>
    <w:rPr>
      <w:rFonts w:ascii="宋体" w:hAnsi="宋体" w:cs="Courier New"/>
      <w:sz w:val="32"/>
      <w:szCs w:val="32"/>
    </w:rPr>
  </w:style>
  <w:style w:type="paragraph" w:styleId="1367">
    <w:name w:val="Char2 Char Char Char Char Char Char1"/>
    <w:basedOn w:val="1122"/>
    <w:next w:val="1367"/>
    <w:link w:val="1122"/>
    <w:qFormat/>
    <w:pPr>
      <w:jc w:val="center"/>
      <w:spacing w:line="400" w:lineRule="exact"/>
      <w:widowControl/>
    </w:pPr>
  </w:style>
  <w:style w:type="character" w:styleId="1368">
    <w:name w:val="页脚 Char"/>
    <w:next w:val="1368"/>
    <w:link w:val="1122"/>
    <w:qFormat/>
    <w:rPr>
      <w:rFonts w:ascii="宋体" w:eastAsia="宋体"/>
      <w:sz w:val="18"/>
      <w:lang w:val="en-US" w:eastAsia="zh-CN" w:bidi="ar-SA"/>
    </w:rPr>
  </w:style>
  <w:style w:type="paragraph" w:styleId="1369">
    <w:name w:val="Char Char41"/>
    <w:basedOn w:val="1122"/>
    <w:next w:val="1369"/>
    <w:link w:val="1122"/>
    <w:qFormat/>
    <w:pPr>
      <w:jc w:val="center"/>
      <w:spacing w:line="400" w:lineRule="exact"/>
      <w:widowControl/>
    </w:pPr>
  </w:style>
  <w:style w:type="character" w:styleId="1370">
    <w:name w:val="批注文字 Char"/>
    <w:next w:val="1370"/>
    <w:link w:val="1122"/>
    <w:uiPriority w:val="99"/>
    <w:qFormat/>
    <w:rPr>
      <w:sz w:val="21"/>
      <w:szCs w:val="24"/>
    </w:rPr>
  </w:style>
  <w:style w:type="character" w:styleId="1371">
    <w:name w:val="标题 Char"/>
    <w:next w:val="1371"/>
    <w:link w:val="1122"/>
    <w:qFormat/>
    <w:rPr>
      <w:b/>
      <w:sz w:val="32"/>
    </w:rPr>
  </w:style>
  <w:style w:type="paragraph" w:styleId="1372">
    <w:name w:val="图例"/>
    <w:basedOn w:val="1122"/>
    <w:next w:val="1372"/>
    <w:link w:val="1122"/>
    <w:qFormat/>
    <w:pPr>
      <w:jc w:val="center"/>
      <w:spacing w:before="120" w:after="120" w:line="360" w:lineRule="auto"/>
    </w:pPr>
    <w:rPr>
      <w:rFonts w:eastAsia="仿宋_GB2312"/>
      <w:b/>
      <w:sz w:val="24"/>
      <w:szCs w:val="20"/>
    </w:rPr>
  </w:style>
  <w:style w:type="paragraph" w:styleId="1373">
    <w:name w:val="Table Paragraph"/>
    <w:basedOn w:val="1122"/>
    <w:next w:val="1373"/>
    <w:link w:val="1122"/>
    <w:uiPriority w:val="1"/>
    <w:qFormat/>
    <w:pPr>
      <w:jc w:val="left"/>
    </w:pPr>
    <w:rPr>
      <w:rFonts w:ascii="宋体" w:hAnsi="宋体" w:cs="宋体"/>
      <w:sz w:val="22"/>
      <w:szCs w:val="22"/>
      <w:lang w:eastAsia="en-US"/>
    </w:rPr>
  </w:style>
  <w:style w:type="table" w:styleId="1374">
    <w:name w:val="Table Normal"/>
    <w:next w:val="1374"/>
    <w:link w:val="1122"/>
    <w:uiPriority w:val="2"/>
    <w:semiHidden/>
    <w:qFormat/>
    <w:pPr>
      <w:widowControl w:val="off"/>
    </w:pPr>
    <w:rPr>
      <w:rFonts w:ascii="Calibri" w:hAnsi="Calibri"/>
      <w:sz w:val="22"/>
      <w:szCs w:val="22"/>
      <w:lang w:val="en-US" w:eastAsia="en-US" w:bidi="ar-SA"/>
    </w:rPr>
    <w:tblPr/>
  </w:style>
  <w:style w:type="paragraph" w:styleId="1375">
    <w:name w:val="成文日期"/>
    <w:basedOn w:val="1122"/>
    <w:next w:val="1375"/>
    <w:link w:val="1376"/>
    <w:qFormat/>
    <w:pPr>
      <w:ind w:right="400" w:firstLine="200"/>
      <w:jc w:val="right"/>
      <w:spacing w:line="570" w:lineRule="exact"/>
    </w:pPr>
    <w:rPr>
      <w:rFonts w:ascii="仿宋_GB2312" w:eastAsia="仿宋_GB2312"/>
      <w:sz w:val="32"/>
      <w:szCs w:val="20"/>
    </w:rPr>
  </w:style>
  <w:style w:type="character" w:styleId="1376">
    <w:name w:val="成文日期 Char"/>
    <w:next w:val="1376"/>
    <w:link w:val="1375"/>
    <w:rPr>
      <w:rFonts w:ascii="仿宋_GB2312" w:eastAsia="仿宋_GB2312"/>
      <w:sz w:val="32"/>
    </w:rPr>
  </w:style>
  <w:style w:type="paragraph" w:styleId="1377">
    <w:name w:val="_Style 15"/>
    <w:basedOn w:val="1122"/>
    <w:next w:val="1122"/>
    <w:link w:val="1122"/>
    <w:qFormat/>
    <w:pPr>
      <w:ind w:left="420" w:firstLine="420"/>
      <w:spacing w:after="120"/>
    </w:pPr>
    <w:rPr>
      <w:szCs w:val="22"/>
    </w:rPr>
  </w:style>
  <w:style w:type="paragraph" w:styleId="1378">
    <w:name w:val="修订"/>
    <w:next w:val="1378"/>
    <w:link w:val="1122"/>
    <w:uiPriority w:val="99"/>
    <w:unhideWhenUsed/>
    <w:rPr>
      <w:sz w:val="21"/>
      <w:szCs w:val="24"/>
      <w:lang w:val="en-US" w:eastAsia="zh-CN" w:bidi="ar-SA"/>
    </w:rPr>
  </w:style>
  <w:style w:type="character" w:styleId="1379">
    <w:name w:val="标题 2 Char1"/>
    <w:next w:val="1379"/>
    <w:link w:val="1122"/>
    <w:qFormat/>
    <w:rPr>
      <w:rFonts w:ascii="Arial" w:hAnsi="Arial" w:eastAsia="黑体"/>
      <w:b/>
      <w:sz w:val="30"/>
      <w:lang w:val="en-US" w:eastAsia="zh-CN" w:bidi="ar-SA"/>
    </w:rPr>
  </w:style>
  <w:style w:type="character" w:styleId="1380">
    <w:name w:val="fontstyle01"/>
    <w:next w:val="1380"/>
    <w:link w:val="1122"/>
    <w:qFormat/>
    <w:rPr>
      <w:rFonts w:ascii="E-BZ" w:hAnsi="E-BZ"/>
      <w:color w:val="000000"/>
      <w:sz w:val="22"/>
      <w:szCs w:val="22"/>
    </w:rPr>
  </w:style>
  <w:style w:type="character" w:styleId="1381">
    <w:name w:val="NormalCharacter1"/>
    <w:next w:val="1381"/>
    <w:link w:val="1122"/>
    <w:semiHidden/>
    <w:qFormat/>
  </w:style>
  <w:style w:type="character" w:styleId="1382">
    <w:name w:val="font21"/>
    <w:basedOn w:val="1132"/>
    <w:next w:val="1382"/>
    <w:link w:val="1122"/>
    <w:qFormat/>
    <w:rPr>
      <w:rFonts w:hint="eastAsia" w:ascii="宋体" w:hAnsi="宋体" w:eastAsia="宋体" w:cs="宋体"/>
      <w:color w:val="000000"/>
      <w:sz w:val="21"/>
      <w:szCs w:val="21"/>
      <w:u w:val="none"/>
    </w:rPr>
  </w:style>
  <w:style w:type="character" w:styleId="1383">
    <w:name w:val="font31"/>
    <w:basedOn w:val="1132"/>
    <w:next w:val="1383"/>
    <w:link w:val="1122"/>
    <w:qFormat/>
    <w:rPr>
      <w:rFonts w:hint="eastAsia" w:ascii="宋体" w:hAnsi="宋体" w:eastAsia="宋体" w:cs="宋体"/>
      <w:color w:val="ff0000"/>
      <w:sz w:val="21"/>
      <w:szCs w:val="21"/>
      <w:u w:val="none"/>
    </w:rPr>
  </w:style>
  <w:style w:type="paragraph" w:styleId="1384">
    <w:name w:val="正文文本1"/>
    <w:basedOn w:val="1122"/>
    <w:next w:val="1384"/>
    <w:link w:val="1122"/>
    <w:qFormat/>
    <w:pPr>
      <w:spacing w:before="120" w:line="22" w:lineRule="atLeast"/>
      <w:tabs>
        <w:tab w:val="left" w:pos="567" w:leader="none"/>
      </w:tabs>
    </w:pPr>
    <w:rPr>
      <w:rFonts w:ascii="宋体" w:hAnsi="宋体"/>
      <w:sz w:val="24"/>
    </w:rPr>
  </w:style>
  <w:style w:type="table" w:styleId="1385">
    <w:name w:val="网格型1"/>
    <w:basedOn w:val="1386"/>
    <w:next w:val="1385"/>
    <w:link w:val="1122"/>
    <w:uiPriority w:val="59"/>
    <w:qFormat/>
    <w:tblPr/>
  </w:style>
  <w:style w:type="table" w:styleId="1386">
    <w:name w:val="普通表格1"/>
    <w:next w:val="1386"/>
    <w:link w:val="1122"/>
    <w:uiPriority w:val="99"/>
    <w:unhideWhenUsed/>
    <w:qFormat/>
    <w:tblPr/>
  </w:style>
  <w:style w:type="character" w:styleId="1387">
    <w:name w:val="active16"/>
    <w:basedOn w:val="1132"/>
    <w:next w:val="1387"/>
    <w:link w:val="1122"/>
    <w:rPr>
      <w:color w:val="ffffff"/>
      <w:shd w:val="clear" w:color="auto" w:fill="0f5bb9"/>
    </w:rPr>
  </w:style>
  <w:style w:type="paragraph" w:styleId="1388">
    <w:name w:val="纯文本1"/>
    <w:basedOn w:val="1122"/>
    <w:next w:val="1388"/>
    <w:link w:val="1122"/>
    <w:qFormat/>
    <w:rPr>
      <w:rFonts w:ascii="宋体" w:hAnsi="Courier New" w:eastAsia="宋体" w:cs="Courier New"/>
      <w:szCs w:val="21"/>
    </w:rPr>
  </w:style>
  <w:style w:type="character" w:styleId="1389" w:default="1">
    <w:name w:val="Default Paragraph Font"/>
    <w:uiPriority w:val="1"/>
    <w:semiHidden/>
    <w:unhideWhenUsed/>
  </w:style>
  <w:style w:type="numbering" w:styleId="1390" w:default="1">
    <w:name w:val="No List"/>
    <w:uiPriority w:val="99"/>
    <w:semiHidden/>
    <w:unhideWhenUsed/>
  </w:style>
  <w:style w:type="table" w:styleId="13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王女士</cp:lastModifiedBy>
  <cp:revision>5</cp:revision>
  <dcterms:created xsi:type="dcterms:W3CDTF">2025-02-25T06:03:00Z</dcterms:created>
  <dcterms:modified xsi:type="dcterms:W3CDTF">2026-01-16T06:37:16Z</dcterms:modified>
</cp:coreProperties>
</file>